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6387" w:rsidRPr="00C47E31" w:rsidRDefault="00211438">
      <w:pPr>
        <w:jc w:val="both"/>
        <w:rPr>
          <w:rFonts w:ascii="Cambria" w:hAnsi="Cambria" w:cs="Cambria"/>
          <w:b/>
          <w:iCs/>
        </w:rPr>
      </w:pPr>
      <w:r w:rsidRPr="00C47E31">
        <w:rPr>
          <w:rFonts w:ascii="Cambria" w:hAnsi="Cambria" w:cs="Cambria"/>
          <w:b/>
          <w:iCs/>
        </w:rPr>
        <w:t>In Search of the Lost Balance</w:t>
      </w:r>
    </w:p>
    <w:p w:rsidR="00A26387" w:rsidRDefault="00A26387">
      <w:pPr>
        <w:jc w:val="both"/>
        <w:rPr>
          <w:rFonts w:ascii="Cambria" w:hAnsi="Cambria" w:cs="Cambria"/>
          <w:b/>
          <w:iCs/>
          <w:sz w:val="22"/>
          <w:szCs w:val="22"/>
        </w:rPr>
      </w:pPr>
    </w:p>
    <w:p w:rsidR="00F0307F" w:rsidRPr="00A26387" w:rsidRDefault="00A26387">
      <w:pPr>
        <w:jc w:val="both"/>
        <w:rPr>
          <w:rFonts w:ascii="Cambria" w:hAnsi="Cambria" w:cs="Cambria"/>
          <w:iCs/>
          <w:sz w:val="22"/>
          <w:szCs w:val="22"/>
        </w:rPr>
      </w:pPr>
      <w:r w:rsidRPr="00A26387">
        <w:rPr>
          <w:rFonts w:ascii="Cambria" w:hAnsi="Cambria" w:cs="Cambria"/>
          <w:iCs/>
          <w:sz w:val="22"/>
          <w:szCs w:val="22"/>
        </w:rPr>
        <w:t>T</w:t>
      </w:r>
      <w:r w:rsidR="00211438" w:rsidRPr="00A26387">
        <w:rPr>
          <w:rFonts w:ascii="Cambria" w:hAnsi="Cambria" w:cs="Cambria"/>
          <w:iCs/>
          <w:sz w:val="22"/>
          <w:szCs w:val="22"/>
        </w:rPr>
        <w:t xml:space="preserve">he Role of External </w:t>
      </w:r>
      <w:r w:rsidR="00A47181" w:rsidRPr="00A26387">
        <w:rPr>
          <w:rFonts w:ascii="Cambria" w:hAnsi="Cambria" w:cs="Cambria"/>
          <w:iCs/>
          <w:sz w:val="22"/>
          <w:szCs w:val="22"/>
        </w:rPr>
        <w:t>Involvement</w:t>
      </w:r>
      <w:r w:rsidR="00211438" w:rsidRPr="00A26387">
        <w:rPr>
          <w:rFonts w:ascii="Cambria" w:hAnsi="Cambria" w:cs="Cambria"/>
          <w:iCs/>
          <w:sz w:val="22"/>
          <w:szCs w:val="22"/>
        </w:rPr>
        <w:t xml:space="preserve"> in the Ukrainian Crisis</w:t>
      </w:r>
      <w:r w:rsidR="00016B97" w:rsidRPr="00A26387">
        <w:rPr>
          <w:rFonts w:ascii="Cambria" w:hAnsi="Cambria" w:cs="Cambria"/>
          <w:iCs/>
          <w:sz w:val="22"/>
          <w:szCs w:val="22"/>
        </w:rPr>
        <w:t xml:space="preserve"> </w:t>
      </w:r>
    </w:p>
    <w:p w:rsidR="00C25D34" w:rsidRPr="00C25D34" w:rsidRDefault="00C25D34">
      <w:pPr>
        <w:jc w:val="both"/>
        <w:rPr>
          <w:rFonts w:ascii="Cambria" w:hAnsi="Cambria" w:cs="Cambria"/>
          <w:b/>
          <w:i/>
          <w:iCs/>
          <w:sz w:val="22"/>
          <w:szCs w:val="22"/>
        </w:rPr>
      </w:pPr>
    </w:p>
    <w:p w:rsidR="009D0F39" w:rsidRDefault="000231E5">
      <w:pPr>
        <w:jc w:val="both"/>
        <w:rPr>
          <w:rFonts w:ascii="Cambria" w:hAnsi="Cambria" w:cs="Cambria"/>
          <w:sz w:val="22"/>
          <w:szCs w:val="22"/>
        </w:rPr>
      </w:pPr>
      <w:r>
        <w:rPr>
          <w:rFonts w:ascii="Cambria" w:hAnsi="Cambria" w:cs="Cambria"/>
          <w:i/>
          <w:iCs/>
          <w:sz w:val="22"/>
          <w:szCs w:val="22"/>
        </w:rPr>
        <w:t>Ielizaveta Rekhtman</w:t>
      </w:r>
    </w:p>
    <w:p w:rsidR="009D0F39" w:rsidRDefault="009D0F39">
      <w:pPr>
        <w:jc w:val="both"/>
        <w:rPr>
          <w:rFonts w:ascii="Cambria" w:hAnsi="Cambria" w:cs="Cambria"/>
          <w:sz w:val="22"/>
          <w:szCs w:val="22"/>
        </w:rPr>
      </w:pPr>
    </w:p>
    <w:p w:rsidR="009D0F39" w:rsidRDefault="00FA6785">
      <w:pPr>
        <w:jc w:val="both"/>
        <w:rPr>
          <w:rFonts w:ascii="Cambria" w:hAnsi="Cambria" w:cs="Cambria"/>
          <w:sz w:val="22"/>
          <w:szCs w:val="22"/>
        </w:rPr>
      </w:pPr>
      <w:r>
        <w:rPr>
          <w:rFonts w:ascii="Cambria" w:hAnsi="Cambria" w:cs="Cambria"/>
          <w:sz w:val="22"/>
          <w:szCs w:val="22"/>
        </w:rPr>
        <w:tab/>
      </w:r>
      <w:r>
        <w:rPr>
          <w:rFonts w:ascii="Cambria" w:hAnsi="Cambria" w:cs="Cambria"/>
          <w:b/>
          <w:bCs/>
          <w:sz w:val="22"/>
          <w:szCs w:val="22"/>
        </w:rPr>
        <w:t xml:space="preserve">I. </w:t>
      </w:r>
      <w:r w:rsidR="00F0307F">
        <w:rPr>
          <w:rFonts w:ascii="Cambria" w:hAnsi="Cambria" w:cs="Cambria"/>
          <w:b/>
          <w:bCs/>
          <w:sz w:val="22"/>
          <w:szCs w:val="22"/>
        </w:rPr>
        <w:t>Introduction</w:t>
      </w:r>
    </w:p>
    <w:p w:rsidR="009D0F39" w:rsidRDefault="009D0F39">
      <w:pPr>
        <w:jc w:val="both"/>
        <w:rPr>
          <w:rFonts w:ascii="Cambria" w:hAnsi="Cambria" w:cs="Cambria"/>
          <w:sz w:val="22"/>
          <w:szCs w:val="22"/>
        </w:rPr>
      </w:pPr>
    </w:p>
    <w:p w:rsidR="001C7205" w:rsidRDefault="001D521D">
      <w:pPr>
        <w:spacing w:after="227" w:line="360" w:lineRule="auto"/>
        <w:jc w:val="both"/>
        <w:rPr>
          <w:rFonts w:ascii="Cambria" w:eastAsia="@SimSun" w:hAnsi="Cambria" w:cs="Cambria"/>
          <w:color w:val="00000A"/>
          <w:sz w:val="22"/>
          <w:szCs w:val="22"/>
        </w:rPr>
      </w:pPr>
      <w:r>
        <w:rPr>
          <w:rFonts w:ascii="Cambria" w:eastAsia="@SimSun" w:hAnsi="Cambria" w:cs="Cambria"/>
          <w:color w:val="00000A"/>
          <w:sz w:val="22"/>
          <w:szCs w:val="22"/>
        </w:rPr>
        <w:t>On October 26</w:t>
      </w:r>
      <w:r w:rsidRPr="001D521D">
        <w:rPr>
          <w:rFonts w:ascii="Cambria" w:eastAsia="@SimSun" w:hAnsi="Cambria" w:cs="Cambria"/>
          <w:color w:val="00000A"/>
          <w:sz w:val="22"/>
          <w:szCs w:val="22"/>
          <w:vertAlign w:val="superscript"/>
        </w:rPr>
        <w:t>th</w:t>
      </w:r>
      <w:r>
        <w:rPr>
          <w:rFonts w:ascii="Cambria" w:eastAsia="@SimSun" w:hAnsi="Cambria" w:cs="Cambria"/>
          <w:color w:val="00000A"/>
          <w:sz w:val="22"/>
          <w:szCs w:val="22"/>
          <w:vertAlign w:val="superscript"/>
        </w:rPr>
        <w:t xml:space="preserve"> </w:t>
      </w:r>
      <w:r w:rsidR="005C764C">
        <w:rPr>
          <w:rFonts w:ascii="Cambria" w:eastAsia="@SimSun" w:hAnsi="Cambria" w:cs="Cambria"/>
          <w:color w:val="00000A"/>
          <w:sz w:val="22"/>
          <w:szCs w:val="22"/>
        </w:rPr>
        <w:t xml:space="preserve">Ukraine voted for its next parliament. </w:t>
      </w:r>
      <w:r w:rsidR="008F52F7">
        <w:rPr>
          <w:rFonts w:ascii="Cambria" w:eastAsia="@SimSun" w:hAnsi="Cambria" w:cs="Cambria"/>
          <w:color w:val="00000A"/>
          <w:sz w:val="22"/>
          <w:szCs w:val="22"/>
        </w:rPr>
        <w:t xml:space="preserve">The </w:t>
      </w:r>
      <w:r w:rsidR="00C25D34">
        <w:rPr>
          <w:rFonts w:ascii="Cambria" w:eastAsia="@SimSun" w:hAnsi="Cambria" w:cs="Cambria"/>
          <w:color w:val="00000A"/>
          <w:sz w:val="22"/>
          <w:szCs w:val="22"/>
        </w:rPr>
        <w:t>outcome of the elections has</w:t>
      </w:r>
      <w:r w:rsidR="002D37D1">
        <w:rPr>
          <w:rFonts w:ascii="Cambria" w:eastAsia="@SimSun" w:hAnsi="Cambria" w:cs="Cambria"/>
          <w:color w:val="00000A"/>
          <w:sz w:val="22"/>
          <w:szCs w:val="22"/>
        </w:rPr>
        <w:t xml:space="preserve"> been reported by the media as ‘pro-European’</w:t>
      </w:r>
      <w:r w:rsidR="008F52F7">
        <w:rPr>
          <w:rFonts w:ascii="Cambria" w:eastAsia="@SimSun" w:hAnsi="Cambria" w:cs="Cambria"/>
          <w:color w:val="00000A"/>
          <w:sz w:val="22"/>
          <w:szCs w:val="22"/>
        </w:rPr>
        <w:t xml:space="preserve"> because the parties</w:t>
      </w:r>
      <w:r w:rsidR="003D1344">
        <w:rPr>
          <w:rFonts w:ascii="Cambria" w:eastAsia="@SimSun" w:hAnsi="Cambria" w:cs="Cambria"/>
          <w:color w:val="00000A"/>
          <w:sz w:val="22"/>
          <w:szCs w:val="22"/>
        </w:rPr>
        <w:t xml:space="preserve"> that received the majority of votes</w:t>
      </w:r>
      <w:r w:rsidR="008F52F7">
        <w:rPr>
          <w:rFonts w:ascii="Cambria" w:eastAsia="@SimSun" w:hAnsi="Cambria" w:cs="Cambria"/>
          <w:color w:val="00000A"/>
          <w:sz w:val="22"/>
          <w:szCs w:val="22"/>
        </w:rPr>
        <w:t xml:space="preserve"> </w:t>
      </w:r>
      <w:r w:rsidR="00BF7773">
        <w:rPr>
          <w:rFonts w:ascii="Cambria" w:eastAsia="@SimSun" w:hAnsi="Cambria" w:cs="Cambria"/>
          <w:color w:val="00000A"/>
          <w:sz w:val="22"/>
          <w:szCs w:val="22"/>
        </w:rPr>
        <w:t>base their political stance on Ukraine’s European course.</w:t>
      </w:r>
      <w:r w:rsidR="00EB7005">
        <w:rPr>
          <w:rStyle w:val="Fotnotsreferens"/>
          <w:rFonts w:ascii="Cambria" w:eastAsia="@SimSun" w:hAnsi="Cambria" w:cs="Cambria"/>
          <w:color w:val="00000A"/>
          <w:sz w:val="22"/>
          <w:szCs w:val="22"/>
        </w:rPr>
        <w:footnoteReference w:id="1"/>
      </w:r>
      <w:r w:rsidR="00D7582C">
        <w:rPr>
          <w:rFonts w:ascii="Cambria" w:eastAsia="@SimSun" w:hAnsi="Cambria" w:cs="Cambria"/>
          <w:color w:val="00000A"/>
          <w:sz w:val="22"/>
          <w:szCs w:val="22"/>
        </w:rPr>
        <w:t xml:space="preserve"> </w:t>
      </w:r>
      <w:r w:rsidR="001C7205">
        <w:rPr>
          <w:rFonts w:ascii="Cambria" w:eastAsia="@SimSun" w:hAnsi="Cambria" w:cs="Cambria"/>
          <w:color w:val="00000A"/>
          <w:sz w:val="22"/>
          <w:szCs w:val="22"/>
        </w:rPr>
        <w:t>Additionally, certain Ukrainian experts claim that “Moscow lost the Ukr</w:t>
      </w:r>
      <w:r w:rsidR="002D37D1">
        <w:rPr>
          <w:rFonts w:ascii="Cambria" w:eastAsia="@SimSun" w:hAnsi="Cambria" w:cs="Cambria"/>
          <w:color w:val="00000A"/>
          <w:sz w:val="22"/>
          <w:szCs w:val="22"/>
        </w:rPr>
        <w:t>ainian elections”, because the ‘</w:t>
      </w:r>
      <w:r w:rsidR="001C7205">
        <w:rPr>
          <w:rFonts w:ascii="Cambria" w:eastAsia="@SimSun" w:hAnsi="Cambria" w:cs="Cambria"/>
          <w:color w:val="00000A"/>
          <w:sz w:val="22"/>
          <w:szCs w:val="22"/>
        </w:rPr>
        <w:t>pro-Russi</w:t>
      </w:r>
      <w:r w:rsidR="002D37D1">
        <w:rPr>
          <w:rFonts w:ascii="Cambria" w:eastAsia="@SimSun" w:hAnsi="Cambria" w:cs="Cambria"/>
          <w:color w:val="00000A"/>
          <w:sz w:val="22"/>
          <w:szCs w:val="22"/>
        </w:rPr>
        <w:t>an’</w:t>
      </w:r>
      <w:r w:rsidR="003D1344">
        <w:rPr>
          <w:rFonts w:ascii="Cambria" w:eastAsia="@SimSun" w:hAnsi="Cambria" w:cs="Cambria"/>
          <w:color w:val="00000A"/>
          <w:sz w:val="22"/>
          <w:szCs w:val="22"/>
        </w:rPr>
        <w:t xml:space="preserve"> Oppositional Bloc received</w:t>
      </w:r>
      <w:r w:rsidR="001C7205">
        <w:rPr>
          <w:rFonts w:ascii="Cambria" w:eastAsia="@SimSun" w:hAnsi="Cambria" w:cs="Cambria"/>
          <w:color w:val="00000A"/>
          <w:sz w:val="22"/>
          <w:szCs w:val="22"/>
        </w:rPr>
        <w:t xml:space="preserve"> little more than 9% of electoral support and </w:t>
      </w:r>
      <w:r w:rsidR="003D1344">
        <w:rPr>
          <w:rFonts w:ascii="Cambria" w:eastAsia="@SimSun" w:hAnsi="Cambria" w:cs="Cambria"/>
          <w:color w:val="00000A"/>
          <w:sz w:val="22"/>
          <w:szCs w:val="22"/>
        </w:rPr>
        <w:t xml:space="preserve">won </w:t>
      </w:r>
      <w:r w:rsidR="00967EF5">
        <w:rPr>
          <w:rFonts w:ascii="Cambria" w:eastAsia="@SimSun" w:hAnsi="Cambria" w:cs="Cambria"/>
          <w:color w:val="00000A"/>
          <w:sz w:val="22"/>
          <w:szCs w:val="22"/>
        </w:rPr>
        <w:t xml:space="preserve">several </w:t>
      </w:r>
      <w:r w:rsidR="00464943">
        <w:rPr>
          <w:rFonts w:ascii="Cambria" w:eastAsia="@SimSun" w:hAnsi="Cambria" w:cs="Cambria"/>
          <w:color w:val="00000A"/>
          <w:sz w:val="22"/>
          <w:szCs w:val="22"/>
        </w:rPr>
        <w:t>dozen</w:t>
      </w:r>
      <w:r w:rsidR="00967EF5">
        <w:rPr>
          <w:rFonts w:ascii="Cambria" w:eastAsia="@SimSun" w:hAnsi="Cambria" w:cs="Cambria"/>
          <w:color w:val="00000A"/>
          <w:sz w:val="22"/>
          <w:szCs w:val="22"/>
        </w:rPr>
        <w:t xml:space="preserve"> majoritarian mandates in the Eastern and Southern regions of Ukraine.</w:t>
      </w:r>
      <w:r w:rsidR="00967EF5">
        <w:rPr>
          <w:rStyle w:val="Fotnotsreferens"/>
          <w:rFonts w:ascii="Cambria" w:eastAsia="@SimSun" w:hAnsi="Cambria" w:cs="Cambria"/>
          <w:color w:val="00000A"/>
          <w:sz w:val="22"/>
          <w:szCs w:val="22"/>
        </w:rPr>
        <w:footnoteReference w:id="2"/>
      </w:r>
    </w:p>
    <w:p w:rsidR="003D1344" w:rsidRDefault="00967EF5">
      <w:pPr>
        <w:spacing w:after="227" w:line="360" w:lineRule="auto"/>
        <w:jc w:val="both"/>
        <w:rPr>
          <w:rFonts w:ascii="Cambria" w:eastAsia="@SimSun" w:hAnsi="Cambria" w:cs="Cambria"/>
          <w:color w:val="00000A"/>
          <w:sz w:val="22"/>
          <w:szCs w:val="22"/>
        </w:rPr>
      </w:pPr>
      <w:r>
        <w:rPr>
          <w:rFonts w:ascii="Cambria" w:eastAsia="@SimSun" w:hAnsi="Cambria" w:cs="Cambria"/>
          <w:color w:val="00000A"/>
          <w:sz w:val="22"/>
          <w:szCs w:val="22"/>
        </w:rPr>
        <w:t>In th</w:t>
      </w:r>
      <w:r w:rsidR="003D1344">
        <w:rPr>
          <w:rFonts w:ascii="Cambria" w:eastAsia="@SimSun" w:hAnsi="Cambria" w:cs="Cambria"/>
          <w:color w:val="00000A"/>
          <w:sz w:val="22"/>
          <w:szCs w:val="22"/>
        </w:rPr>
        <w:t>e light of the Ukrainian crisis and</w:t>
      </w:r>
      <w:r>
        <w:rPr>
          <w:rFonts w:ascii="Cambria" w:eastAsia="@SimSun" w:hAnsi="Cambria" w:cs="Cambria"/>
          <w:color w:val="00000A"/>
          <w:sz w:val="22"/>
          <w:szCs w:val="22"/>
        </w:rPr>
        <w:t xml:space="preserve"> its implications </w:t>
      </w:r>
      <w:r w:rsidR="003D1344">
        <w:rPr>
          <w:rFonts w:ascii="Cambria" w:eastAsia="@SimSun" w:hAnsi="Cambria" w:cs="Cambria"/>
          <w:color w:val="00000A"/>
          <w:sz w:val="22"/>
          <w:szCs w:val="22"/>
        </w:rPr>
        <w:t>for global political actors,</w:t>
      </w:r>
      <w:r>
        <w:rPr>
          <w:rFonts w:ascii="Cambria" w:eastAsia="@SimSun" w:hAnsi="Cambria" w:cs="Cambria"/>
          <w:color w:val="00000A"/>
          <w:sz w:val="22"/>
          <w:szCs w:val="22"/>
        </w:rPr>
        <w:t xml:space="preserve"> Ukraine’s internal balance of political power has been increasingly topical for Western and Russian analysts. From the Western and Russian perspect</w:t>
      </w:r>
      <w:r w:rsidR="003D1344">
        <w:rPr>
          <w:rFonts w:ascii="Cambria" w:eastAsia="@SimSun" w:hAnsi="Cambria" w:cs="Cambria"/>
          <w:color w:val="00000A"/>
          <w:sz w:val="22"/>
          <w:szCs w:val="22"/>
        </w:rPr>
        <w:t>ives, the Ukrainian crisis is a</w:t>
      </w:r>
      <w:r>
        <w:rPr>
          <w:rFonts w:ascii="Cambria" w:eastAsia="@SimSun" w:hAnsi="Cambria" w:cs="Cambria"/>
          <w:color w:val="00000A"/>
          <w:sz w:val="22"/>
          <w:szCs w:val="22"/>
        </w:rPr>
        <w:t xml:space="preserve"> </w:t>
      </w:r>
      <w:r w:rsidR="003D1344">
        <w:rPr>
          <w:rFonts w:ascii="Cambria" w:eastAsia="@SimSun" w:hAnsi="Cambria" w:cs="Cambria"/>
          <w:color w:val="00000A"/>
          <w:sz w:val="22"/>
          <w:szCs w:val="22"/>
        </w:rPr>
        <w:t>foreign policy</w:t>
      </w:r>
      <w:r>
        <w:rPr>
          <w:rFonts w:ascii="Cambria" w:eastAsia="@SimSun" w:hAnsi="Cambria" w:cs="Cambria"/>
          <w:color w:val="00000A"/>
          <w:sz w:val="22"/>
          <w:szCs w:val="22"/>
        </w:rPr>
        <w:t xml:space="preserve"> issue with serious, but yet controllable</w:t>
      </w:r>
      <w:r w:rsidR="00D67A65">
        <w:rPr>
          <w:rFonts w:ascii="Cambria" w:eastAsia="@SimSun" w:hAnsi="Cambria" w:cs="Cambria"/>
          <w:color w:val="00000A"/>
          <w:sz w:val="22"/>
          <w:szCs w:val="22"/>
        </w:rPr>
        <w:t>,</w:t>
      </w:r>
      <w:r>
        <w:rPr>
          <w:rFonts w:ascii="Cambria" w:eastAsia="@SimSun" w:hAnsi="Cambria" w:cs="Cambria"/>
          <w:color w:val="00000A"/>
          <w:sz w:val="22"/>
          <w:szCs w:val="22"/>
        </w:rPr>
        <w:t xml:space="preserve"> consequences. For Ukraine, the </w:t>
      </w:r>
      <w:r w:rsidR="00D67A65">
        <w:rPr>
          <w:rFonts w:ascii="Cambria" w:eastAsia="@SimSun" w:hAnsi="Cambria" w:cs="Cambria"/>
          <w:color w:val="00000A"/>
          <w:sz w:val="22"/>
          <w:szCs w:val="22"/>
        </w:rPr>
        <w:t>mounting</w:t>
      </w:r>
      <w:r>
        <w:rPr>
          <w:rFonts w:ascii="Cambria" w:eastAsia="@SimSun" w:hAnsi="Cambria" w:cs="Cambria"/>
          <w:color w:val="00000A"/>
          <w:sz w:val="22"/>
          <w:szCs w:val="22"/>
        </w:rPr>
        <w:t xml:space="preserve"> </w:t>
      </w:r>
      <w:r w:rsidR="003D1344">
        <w:rPr>
          <w:rFonts w:ascii="Cambria" w:eastAsia="@SimSun" w:hAnsi="Cambria" w:cs="Cambria"/>
          <w:color w:val="00000A"/>
          <w:sz w:val="22"/>
          <w:szCs w:val="22"/>
        </w:rPr>
        <w:t xml:space="preserve">external </w:t>
      </w:r>
      <w:r>
        <w:rPr>
          <w:rFonts w:ascii="Cambria" w:eastAsia="@SimSun" w:hAnsi="Cambria" w:cs="Cambria"/>
          <w:color w:val="00000A"/>
          <w:sz w:val="22"/>
          <w:szCs w:val="22"/>
        </w:rPr>
        <w:t>involvement has a</w:t>
      </w:r>
      <w:r w:rsidR="00D67A65">
        <w:rPr>
          <w:rFonts w:ascii="Cambria" w:eastAsia="@SimSun" w:hAnsi="Cambria" w:cs="Cambria"/>
          <w:color w:val="00000A"/>
          <w:sz w:val="22"/>
          <w:szCs w:val="22"/>
        </w:rPr>
        <w:t>n</w:t>
      </w:r>
      <w:r>
        <w:rPr>
          <w:rFonts w:ascii="Cambria" w:eastAsia="@SimSun" w:hAnsi="Cambria" w:cs="Cambria"/>
          <w:color w:val="00000A"/>
          <w:sz w:val="22"/>
          <w:szCs w:val="22"/>
        </w:rPr>
        <w:t xml:space="preserve"> impact on its internal matters</w:t>
      </w:r>
      <w:r w:rsidR="00D67A65">
        <w:rPr>
          <w:rFonts w:ascii="Cambria" w:eastAsia="@SimSun" w:hAnsi="Cambria" w:cs="Cambria"/>
          <w:color w:val="00000A"/>
          <w:sz w:val="22"/>
          <w:szCs w:val="22"/>
        </w:rPr>
        <w:t xml:space="preserve"> that</w:t>
      </w:r>
      <w:r>
        <w:rPr>
          <w:rFonts w:ascii="Cambria" w:eastAsia="@SimSun" w:hAnsi="Cambria" w:cs="Cambria"/>
          <w:color w:val="00000A"/>
          <w:sz w:val="22"/>
          <w:szCs w:val="22"/>
        </w:rPr>
        <w:t xml:space="preserve"> is hard to measure or control.</w:t>
      </w:r>
      <w:r w:rsidR="00F63F69">
        <w:rPr>
          <w:rFonts w:ascii="Cambria" w:eastAsia="@SimSun" w:hAnsi="Cambria" w:cs="Cambria"/>
          <w:color w:val="00000A"/>
          <w:sz w:val="22"/>
          <w:szCs w:val="22"/>
        </w:rPr>
        <w:t xml:space="preserve"> </w:t>
      </w:r>
    </w:p>
    <w:p w:rsidR="00967EF5" w:rsidRDefault="003D1344">
      <w:pPr>
        <w:spacing w:after="227" w:line="360" w:lineRule="auto"/>
        <w:jc w:val="both"/>
        <w:rPr>
          <w:rFonts w:ascii="Cambria" w:eastAsia="@SimSun" w:hAnsi="Cambria" w:cs="Cambria"/>
          <w:color w:val="00000A"/>
          <w:sz w:val="22"/>
          <w:szCs w:val="22"/>
        </w:rPr>
      </w:pPr>
      <w:r w:rsidRPr="00D67A65">
        <w:rPr>
          <w:rFonts w:ascii="Cambria" w:hAnsi="Cambria" w:cs="Cambria"/>
          <w:sz w:val="22"/>
          <w:szCs w:val="22"/>
        </w:rPr>
        <w:t xml:space="preserve">The influence of </w:t>
      </w:r>
      <w:r w:rsidR="00D67A65" w:rsidRPr="00D67A65">
        <w:rPr>
          <w:rFonts w:ascii="Cambria" w:hAnsi="Cambria" w:cs="Cambria"/>
          <w:sz w:val="22"/>
          <w:szCs w:val="22"/>
        </w:rPr>
        <w:t xml:space="preserve">the </w:t>
      </w:r>
      <w:r w:rsidRPr="00D67A65">
        <w:rPr>
          <w:rFonts w:ascii="Cambria" w:hAnsi="Cambria" w:cs="Cambria"/>
          <w:sz w:val="22"/>
          <w:szCs w:val="22"/>
        </w:rPr>
        <w:t xml:space="preserve">external factor on Ukraine </w:t>
      </w:r>
      <w:r w:rsidR="00D67A65">
        <w:rPr>
          <w:rFonts w:ascii="Cambria" w:hAnsi="Cambria" w:cs="Cambria"/>
          <w:sz w:val="22"/>
          <w:szCs w:val="22"/>
        </w:rPr>
        <w:t xml:space="preserve">is </w:t>
      </w:r>
      <w:r w:rsidR="00D67A65">
        <w:rPr>
          <w:rFonts w:ascii="Cambria" w:hAnsi="Cambria" w:cs="Cambria"/>
          <w:sz w:val="22"/>
          <w:szCs w:val="22"/>
        </w:rPr>
        <w:lastRenderedPageBreak/>
        <w:t>both</w:t>
      </w:r>
      <w:r w:rsidRPr="00D67A65">
        <w:rPr>
          <w:rFonts w:ascii="Cambria" w:hAnsi="Cambria" w:cs="Cambria"/>
          <w:sz w:val="22"/>
          <w:szCs w:val="22"/>
        </w:rPr>
        <w:t xml:space="preserve"> direct and indirect. The direct influence can be illustrated by Russia’s military involvement in the actions in Eastern Ukraine or</w:t>
      </w:r>
      <w:r w:rsidR="00D67A65">
        <w:rPr>
          <w:rFonts w:ascii="Cambria" w:hAnsi="Cambria" w:cs="Cambria"/>
          <w:sz w:val="22"/>
          <w:szCs w:val="22"/>
        </w:rPr>
        <w:t>, conversely,</w:t>
      </w:r>
      <w:r w:rsidRPr="00D67A65">
        <w:rPr>
          <w:rFonts w:ascii="Cambria" w:hAnsi="Cambria" w:cs="Cambria"/>
          <w:sz w:val="22"/>
          <w:szCs w:val="22"/>
        </w:rPr>
        <w:t xml:space="preserve"> the financial aid provided by the EU and US. Ukraine’s policy-making and governance are examples of indirect external factor influence, which can be visible in the outcome of the recent parliamentary elections and the tripartite conflict mediation.</w:t>
      </w:r>
      <w:r>
        <w:rPr>
          <w:rFonts w:ascii="Cambria" w:hAnsi="Cambria" w:cs="Cambria"/>
          <w:sz w:val="22"/>
          <w:szCs w:val="22"/>
        </w:rPr>
        <w:t xml:space="preserve"> </w:t>
      </w:r>
    </w:p>
    <w:p w:rsidR="00967EF5" w:rsidRDefault="00F63F69" w:rsidP="00EB6098">
      <w:pPr>
        <w:spacing w:after="227" w:line="360" w:lineRule="auto"/>
        <w:jc w:val="both"/>
        <w:rPr>
          <w:rFonts w:ascii="Cambria" w:eastAsia="@SimSun" w:hAnsi="Cambria" w:cs="Cambria"/>
          <w:color w:val="00000A"/>
          <w:sz w:val="22"/>
          <w:szCs w:val="22"/>
        </w:rPr>
      </w:pPr>
      <w:r>
        <w:rPr>
          <w:rFonts w:ascii="Cambria" w:eastAsia="@SimSun" w:hAnsi="Cambria" w:cs="Cambria"/>
          <w:color w:val="00000A"/>
          <w:sz w:val="22"/>
          <w:szCs w:val="22"/>
        </w:rPr>
        <w:t xml:space="preserve">This article examines the Ukrainian crisis through the </w:t>
      </w:r>
      <w:r w:rsidR="008F61FB">
        <w:rPr>
          <w:rFonts w:ascii="Cambria" w:eastAsia="@SimSun" w:hAnsi="Cambria" w:cs="Cambria"/>
          <w:color w:val="00000A"/>
          <w:sz w:val="22"/>
          <w:szCs w:val="22"/>
        </w:rPr>
        <w:t xml:space="preserve">dominant </w:t>
      </w:r>
      <w:r w:rsidR="003D1344">
        <w:rPr>
          <w:rFonts w:ascii="Cambria" w:eastAsia="@SimSun" w:hAnsi="Cambria" w:cs="Cambria"/>
          <w:color w:val="00000A"/>
          <w:sz w:val="22"/>
          <w:szCs w:val="22"/>
        </w:rPr>
        <w:t>perspectives</w:t>
      </w:r>
      <w:r>
        <w:rPr>
          <w:rFonts w:ascii="Cambria" w:eastAsia="@SimSun" w:hAnsi="Cambria" w:cs="Cambria"/>
          <w:color w:val="00000A"/>
          <w:sz w:val="22"/>
          <w:szCs w:val="22"/>
        </w:rPr>
        <w:t xml:space="preserve"> of international political actors. It is suggested that the complexity of conflict resolution in Ukraine can be partially explained by the West’s and Russia’s contradicting geo</w:t>
      </w:r>
      <w:r w:rsidR="0057728F">
        <w:rPr>
          <w:rFonts w:ascii="Cambria" w:eastAsia="@SimSun" w:hAnsi="Cambria" w:cs="Cambria"/>
          <w:color w:val="00000A"/>
          <w:sz w:val="22"/>
          <w:szCs w:val="22"/>
        </w:rPr>
        <w:t>political and security concepts and</w:t>
      </w:r>
      <w:r>
        <w:rPr>
          <w:rFonts w:ascii="Cambria" w:eastAsia="@SimSun" w:hAnsi="Cambria" w:cs="Cambria"/>
          <w:color w:val="00000A"/>
          <w:sz w:val="22"/>
          <w:szCs w:val="22"/>
        </w:rPr>
        <w:t xml:space="preserve"> </w:t>
      </w:r>
      <w:r w:rsidR="0057728F">
        <w:rPr>
          <w:rFonts w:ascii="Cambria" w:eastAsia="@SimSun" w:hAnsi="Cambria" w:cs="Cambria"/>
          <w:color w:val="00000A"/>
          <w:sz w:val="22"/>
          <w:szCs w:val="22"/>
        </w:rPr>
        <w:t>the</w:t>
      </w:r>
      <w:r>
        <w:rPr>
          <w:rFonts w:ascii="Cambria" w:eastAsia="@SimSun" w:hAnsi="Cambria" w:cs="Cambria"/>
          <w:color w:val="00000A"/>
          <w:sz w:val="22"/>
          <w:szCs w:val="22"/>
        </w:rPr>
        <w:t xml:space="preserve"> conflicting visions of Ukraine</w:t>
      </w:r>
      <w:r w:rsidR="0057728F">
        <w:rPr>
          <w:rFonts w:ascii="Cambria" w:eastAsia="@SimSun" w:hAnsi="Cambria" w:cs="Cambria"/>
          <w:color w:val="00000A"/>
          <w:sz w:val="22"/>
          <w:szCs w:val="22"/>
        </w:rPr>
        <w:t xml:space="preserve"> that follows</w:t>
      </w:r>
      <w:r w:rsidR="008F61FB">
        <w:rPr>
          <w:rFonts w:ascii="Cambria" w:eastAsia="@SimSun" w:hAnsi="Cambria" w:cs="Cambria"/>
          <w:color w:val="00000A"/>
          <w:sz w:val="22"/>
          <w:szCs w:val="22"/>
        </w:rPr>
        <w:t xml:space="preserve">. </w:t>
      </w:r>
      <w:r w:rsidR="00EB6098">
        <w:rPr>
          <w:rFonts w:ascii="Cambria" w:eastAsia="@SimSun" w:hAnsi="Cambria" w:cs="Cambria"/>
          <w:color w:val="00000A"/>
          <w:sz w:val="22"/>
          <w:szCs w:val="22"/>
        </w:rPr>
        <w:t xml:space="preserve">The article </w:t>
      </w:r>
      <w:r w:rsidR="008F61FB">
        <w:rPr>
          <w:rFonts w:ascii="Cambria" w:eastAsia="@SimSun" w:hAnsi="Cambria" w:cs="Cambria"/>
          <w:color w:val="00000A"/>
          <w:sz w:val="22"/>
          <w:szCs w:val="22"/>
        </w:rPr>
        <w:t xml:space="preserve">further </w:t>
      </w:r>
      <w:r w:rsidR="00EB6098">
        <w:rPr>
          <w:rFonts w:ascii="Cambria" w:eastAsia="@SimSun" w:hAnsi="Cambria" w:cs="Cambria"/>
          <w:color w:val="00000A"/>
          <w:sz w:val="22"/>
          <w:szCs w:val="22"/>
        </w:rPr>
        <w:t xml:space="preserve">aims </w:t>
      </w:r>
      <w:r w:rsidR="008F61FB">
        <w:rPr>
          <w:rFonts w:ascii="Cambria" w:eastAsia="@SimSun" w:hAnsi="Cambria" w:cs="Cambria"/>
          <w:color w:val="00000A"/>
          <w:sz w:val="22"/>
          <w:szCs w:val="22"/>
        </w:rPr>
        <w:t xml:space="preserve">to shed light on </w:t>
      </w:r>
      <w:r w:rsidR="00EB6098">
        <w:rPr>
          <w:rFonts w:ascii="Cambria" w:eastAsia="@SimSun" w:hAnsi="Cambria" w:cs="Cambria"/>
          <w:color w:val="00000A"/>
          <w:sz w:val="22"/>
          <w:szCs w:val="22"/>
        </w:rPr>
        <w:t xml:space="preserve">the role of external </w:t>
      </w:r>
      <w:r w:rsidR="0057728F">
        <w:rPr>
          <w:rFonts w:ascii="Cambria" w:eastAsia="@SimSun" w:hAnsi="Cambria" w:cs="Cambria"/>
          <w:color w:val="00000A"/>
          <w:sz w:val="22"/>
          <w:szCs w:val="22"/>
        </w:rPr>
        <w:t>involvement</w:t>
      </w:r>
      <w:r w:rsidR="00EB6098">
        <w:rPr>
          <w:rFonts w:ascii="Cambria" w:eastAsia="@SimSun" w:hAnsi="Cambria" w:cs="Cambria"/>
          <w:color w:val="00000A"/>
          <w:sz w:val="22"/>
          <w:szCs w:val="22"/>
        </w:rPr>
        <w:t xml:space="preserve"> </w:t>
      </w:r>
      <w:r w:rsidR="008F61FB">
        <w:rPr>
          <w:rFonts w:ascii="Cambria" w:eastAsia="@SimSun" w:hAnsi="Cambria" w:cs="Cambria"/>
          <w:color w:val="00000A"/>
          <w:sz w:val="22"/>
          <w:szCs w:val="22"/>
        </w:rPr>
        <w:t>in Ukraine’s current and future</w:t>
      </w:r>
      <w:r w:rsidR="00EB6098">
        <w:rPr>
          <w:rFonts w:ascii="Cambria" w:eastAsia="@SimSun" w:hAnsi="Cambria" w:cs="Cambria"/>
          <w:color w:val="00000A"/>
          <w:sz w:val="22"/>
          <w:szCs w:val="22"/>
        </w:rPr>
        <w:t xml:space="preserve"> development. </w:t>
      </w:r>
      <w:r w:rsidR="0057728F">
        <w:rPr>
          <w:rFonts w:ascii="Cambria" w:eastAsia="@SimSun" w:hAnsi="Cambria" w:cs="Cambria"/>
          <w:color w:val="00000A"/>
          <w:sz w:val="22"/>
          <w:szCs w:val="22"/>
        </w:rPr>
        <w:t>After a brief discussion of</w:t>
      </w:r>
      <w:r w:rsidR="00EB6098">
        <w:rPr>
          <w:rFonts w:ascii="Cambria" w:eastAsia="@SimSun" w:hAnsi="Cambria" w:cs="Cambria"/>
          <w:color w:val="00000A"/>
          <w:sz w:val="22"/>
          <w:szCs w:val="22"/>
        </w:rPr>
        <w:t xml:space="preserve"> Western and Russian geo</w:t>
      </w:r>
      <w:r w:rsidR="0057728F">
        <w:rPr>
          <w:rFonts w:ascii="Cambria" w:eastAsia="@SimSun" w:hAnsi="Cambria" w:cs="Cambria"/>
          <w:color w:val="00000A"/>
          <w:sz w:val="22"/>
          <w:szCs w:val="22"/>
        </w:rPr>
        <w:t>political and security concepts,</w:t>
      </w:r>
      <w:r w:rsidR="00EB6098">
        <w:rPr>
          <w:rFonts w:ascii="Cambria" w:eastAsia="@SimSun" w:hAnsi="Cambria" w:cs="Cambria"/>
          <w:color w:val="00000A"/>
          <w:sz w:val="22"/>
          <w:szCs w:val="22"/>
        </w:rPr>
        <w:t xml:space="preserve"> the </w:t>
      </w:r>
      <w:r w:rsidR="00995872">
        <w:rPr>
          <w:rFonts w:ascii="Cambria" w:eastAsia="@SimSun" w:hAnsi="Cambria" w:cs="Cambria"/>
          <w:color w:val="00000A"/>
          <w:sz w:val="22"/>
          <w:szCs w:val="22"/>
        </w:rPr>
        <w:t>article</w:t>
      </w:r>
      <w:r w:rsidR="00EB6098">
        <w:rPr>
          <w:rFonts w:ascii="Cambria" w:eastAsia="@SimSun" w:hAnsi="Cambria" w:cs="Cambria"/>
          <w:color w:val="00000A"/>
          <w:sz w:val="22"/>
          <w:szCs w:val="22"/>
        </w:rPr>
        <w:t xml:space="preserve"> will analyse the positions of the West and Russia in the Ukrainian crisis. Finally, </w:t>
      </w:r>
      <w:r w:rsidR="00EA41CE">
        <w:rPr>
          <w:rFonts w:ascii="Cambria" w:eastAsia="@SimSun" w:hAnsi="Cambria" w:cs="Cambria"/>
          <w:color w:val="00000A"/>
          <w:sz w:val="22"/>
          <w:szCs w:val="22"/>
        </w:rPr>
        <w:t>the article will examine the impact of the West – Russia relations on Ukraine’s internal affairs.</w:t>
      </w:r>
    </w:p>
    <w:p w:rsidR="009D0F39" w:rsidRDefault="002D47C4" w:rsidP="002D47C4">
      <w:pPr>
        <w:tabs>
          <w:tab w:val="left" w:pos="709"/>
        </w:tabs>
        <w:jc w:val="both"/>
        <w:rPr>
          <w:rFonts w:ascii="Cambria" w:hAnsi="Cambria" w:cs="Cambria"/>
          <w:b/>
          <w:bCs/>
          <w:color w:val="00000A"/>
          <w:sz w:val="22"/>
          <w:szCs w:val="22"/>
        </w:rPr>
      </w:pPr>
      <w:r>
        <w:rPr>
          <w:rFonts w:ascii="Cambria" w:hAnsi="Cambria" w:cs="Cambria"/>
          <w:b/>
          <w:bCs/>
          <w:color w:val="00000A"/>
          <w:sz w:val="22"/>
          <w:szCs w:val="22"/>
        </w:rPr>
        <w:tab/>
        <w:t xml:space="preserve">II. The West: </w:t>
      </w:r>
      <w:r w:rsidR="002378A3">
        <w:rPr>
          <w:rFonts w:ascii="Cambria" w:hAnsi="Cambria" w:cs="Cambria"/>
          <w:b/>
          <w:bCs/>
          <w:color w:val="00000A"/>
          <w:sz w:val="22"/>
          <w:szCs w:val="22"/>
        </w:rPr>
        <w:t xml:space="preserve">Promoting </w:t>
      </w:r>
      <w:r>
        <w:rPr>
          <w:rFonts w:ascii="Cambria" w:hAnsi="Cambria" w:cs="Cambria"/>
          <w:b/>
          <w:bCs/>
          <w:color w:val="00000A"/>
          <w:sz w:val="22"/>
          <w:szCs w:val="22"/>
        </w:rPr>
        <w:t>Liberalism and Democracy</w:t>
      </w:r>
    </w:p>
    <w:p w:rsidR="002D47C4" w:rsidRDefault="002D47C4" w:rsidP="002D47C4">
      <w:pPr>
        <w:tabs>
          <w:tab w:val="left" w:pos="709"/>
        </w:tabs>
        <w:jc w:val="both"/>
        <w:rPr>
          <w:rFonts w:ascii="Cambria" w:hAnsi="Cambria" w:cs="Cambria"/>
          <w:b/>
          <w:bCs/>
          <w:color w:val="00000A"/>
          <w:sz w:val="22"/>
          <w:szCs w:val="22"/>
        </w:rPr>
      </w:pPr>
    </w:p>
    <w:p w:rsidR="00BB73A0" w:rsidRPr="007A627C" w:rsidRDefault="007A627C" w:rsidP="00BB73A0">
      <w:pPr>
        <w:tabs>
          <w:tab w:val="left" w:pos="709"/>
        </w:tabs>
        <w:spacing w:line="360" w:lineRule="auto"/>
        <w:jc w:val="both"/>
        <w:rPr>
          <w:rFonts w:ascii="Cambria" w:hAnsi="Cambria" w:cs="Cambria"/>
          <w:bCs/>
          <w:color w:val="00000A"/>
          <w:sz w:val="22"/>
          <w:szCs w:val="22"/>
          <w:highlight w:val="yellow"/>
        </w:rPr>
      </w:pPr>
      <w:r w:rsidRPr="007A627C">
        <w:rPr>
          <w:rFonts w:ascii="Cambria" w:hAnsi="Cambria" w:cs="Cambria"/>
          <w:bCs/>
          <w:color w:val="00000A"/>
          <w:sz w:val="22"/>
          <w:szCs w:val="22"/>
        </w:rPr>
        <w:t>John</w:t>
      </w:r>
      <w:r w:rsidR="0057728F" w:rsidRPr="007A627C">
        <w:rPr>
          <w:rFonts w:ascii="Cambria" w:hAnsi="Cambria" w:cs="Cambria"/>
          <w:bCs/>
          <w:color w:val="00000A"/>
          <w:sz w:val="22"/>
          <w:szCs w:val="22"/>
        </w:rPr>
        <w:t xml:space="preserve"> Mearsheimer, a contemporary political scientist and </w:t>
      </w:r>
      <w:r w:rsidRPr="007A627C">
        <w:rPr>
          <w:rFonts w:ascii="Cambria" w:hAnsi="Cambria" w:cs="Cambria"/>
          <w:bCs/>
          <w:color w:val="00000A"/>
          <w:sz w:val="22"/>
          <w:szCs w:val="22"/>
        </w:rPr>
        <w:t xml:space="preserve">realist </w:t>
      </w:r>
      <w:r w:rsidR="0057728F" w:rsidRPr="007A627C">
        <w:rPr>
          <w:rFonts w:ascii="Cambria" w:hAnsi="Cambria" w:cs="Cambria"/>
          <w:bCs/>
          <w:color w:val="00000A"/>
          <w:sz w:val="22"/>
          <w:szCs w:val="22"/>
        </w:rPr>
        <w:t>theorist of international relations, argues that</w:t>
      </w:r>
      <w:r w:rsidR="0057728F">
        <w:rPr>
          <w:rFonts w:ascii="Cambria" w:hAnsi="Cambria" w:cs="Cambria"/>
          <w:bCs/>
          <w:color w:val="00000A"/>
          <w:sz w:val="22"/>
          <w:szCs w:val="22"/>
        </w:rPr>
        <w:t xml:space="preserve"> the </w:t>
      </w:r>
      <w:r w:rsidR="00BB73A0">
        <w:rPr>
          <w:rFonts w:ascii="Cambria" w:hAnsi="Cambria" w:cs="Cambria"/>
          <w:bCs/>
          <w:color w:val="00000A"/>
          <w:sz w:val="22"/>
          <w:szCs w:val="22"/>
        </w:rPr>
        <w:t xml:space="preserve">predominant </w:t>
      </w:r>
      <w:r w:rsidR="008F61FB">
        <w:rPr>
          <w:rFonts w:ascii="Cambria" w:hAnsi="Cambria" w:cs="Cambria"/>
          <w:bCs/>
          <w:color w:val="00000A"/>
          <w:sz w:val="22"/>
          <w:szCs w:val="22"/>
        </w:rPr>
        <w:t xml:space="preserve">political and security </w:t>
      </w:r>
      <w:r w:rsidR="00BB73A0">
        <w:rPr>
          <w:rFonts w:ascii="Cambria" w:hAnsi="Cambria" w:cs="Cambria"/>
          <w:bCs/>
          <w:color w:val="00000A"/>
          <w:sz w:val="22"/>
          <w:szCs w:val="22"/>
        </w:rPr>
        <w:t>concept</w:t>
      </w:r>
      <w:r w:rsidR="002D47C4">
        <w:rPr>
          <w:rFonts w:ascii="Cambria" w:hAnsi="Cambria" w:cs="Cambria"/>
          <w:bCs/>
          <w:color w:val="00000A"/>
          <w:sz w:val="22"/>
          <w:szCs w:val="22"/>
        </w:rPr>
        <w:t xml:space="preserve"> </w:t>
      </w:r>
      <w:r w:rsidR="00BB73A0">
        <w:rPr>
          <w:rFonts w:ascii="Cambria" w:hAnsi="Cambria" w:cs="Cambria"/>
          <w:bCs/>
          <w:color w:val="00000A"/>
          <w:sz w:val="22"/>
          <w:szCs w:val="22"/>
        </w:rPr>
        <w:t>shared by the US</w:t>
      </w:r>
      <w:r w:rsidR="002C559B">
        <w:rPr>
          <w:rFonts w:ascii="Cambria" w:hAnsi="Cambria" w:cs="Cambria"/>
          <w:bCs/>
          <w:color w:val="00000A"/>
          <w:sz w:val="22"/>
          <w:szCs w:val="22"/>
        </w:rPr>
        <w:t>, NATO</w:t>
      </w:r>
      <w:r w:rsidR="00BB73A0">
        <w:rPr>
          <w:rFonts w:ascii="Cambria" w:hAnsi="Cambria" w:cs="Cambria"/>
          <w:bCs/>
          <w:color w:val="00000A"/>
          <w:sz w:val="22"/>
          <w:szCs w:val="22"/>
        </w:rPr>
        <w:t xml:space="preserve"> and </w:t>
      </w:r>
      <w:r w:rsidR="002C559B">
        <w:rPr>
          <w:rFonts w:ascii="Cambria" w:hAnsi="Cambria" w:cs="Cambria"/>
          <w:bCs/>
          <w:color w:val="00000A"/>
          <w:sz w:val="22"/>
          <w:szCs w:val="22"/>
        </w:rPr>
        <w:lastRenderedPageBreak/>
        <w:t xml:space="preserve">the </w:t>
      </w:r>
      <w:r w:rsidR="00BB73A0">
        <w:rPr>
          <w:rFonts w:ascii="Cambria" w:hAnsi="Cambria" w:cs="Cambria"/>
          <w:bCs/>
          <w:color w:val="00000A"/>
          <w:sz w:val="22"/>
          <w:szCs w:val="22"/>
        </w:rPr>
        <w:t>EU</w:t>
      </w:r>
      <w:r w:rsidR="0057728F">
        <w:rPr>
          <w:rFonts w:ascii="Cambria" w:hAnsi="Cambria" w:cs="Cambria"/>
          <w:bCs/>
          <w:color w:val="00000A"/>
          <w:sz w:val="22"/>
          <w:szCs w:val="22"/>
        </w:rPr>
        <w:t xml:space="preserve"> in the post-Cold War era</w:t>
      </w:r>
      <w:r w:rsidR="008F61FB">
        <w:rPr>
          <w:rFonts w:ascii="Cambria" w:hAnsi="Cambria" w:cs="Cambria"/>
          <w:bCs/>
          <w:color w:val="00000A"/>
          <w:sz w:val="22"/>
          <w:szCs w:val="22"/>
        </w:rPr>
        <w:t xml:space="preserve"> is</w:t>
      </w:r>
      <w:r w:rsidR="002C559B">
        <w:rPr>
          <w:rFonts w:ascii="Cambria" w:hAnsi="Cambria" w:cs="Cambria"/>
          <w:bCs/>
          <w:color w:val="00000A"/>
          <w:sz w:val="22"/>
          <w:szCs w:val="22"/>
        </w:rPr>
        <w:t xml:space="preserve"> liberalism.</w:t>
      </w:r>
      <w:r w:rsidR="002C559B">
        <w:rPr>
          <w:rStyle w:val="Fotnotsreferens"/>
          <w:rFonts w:ascii="Cambria" w:hAnsi="Cambria" w:cs="Cambria"/>
          <w:bCs/>
          <w:color w:val="00000A"/>
          <w:sz w:val="22"/>
          <w:szCs w:val="22"/>
        </w:rPr>
        <w:footnoteReference w:id="3"/>
      </w:r>
      <w:r w:rsidR="00BB73A0">
        <w:rPr>
          <w:rFonts w:ascii="Cambria" w:hAnsi="Cambria" w:cs="Cambria"/>
          <w:bCs/>
          <w:color w:val="00000A"/>
          <w:sz w:val="22"/>
          <w:szCs w:val="22"/>
        </w:rPr>
        <w:t xml:space="preserve"> </w:t>
      </w:r>
      <w:r w:rsidR="00B536E5">
        <w:rPr>
          <w:rFonts w:ascii="Cambria" w:hAnsi="Cambria" w:cs="Cambria"/>
          <w:bCs/>
          <w:color w:val="00000A"/>
          <w:sz w:val="22"/>
          <w:szCs w:val="22"/>
        </w:rPr>
        <w:t>This concept is</w:t>
      </w:r>
      <w:r w:rsidR="002C559B">
        <w:rPr>
          <w:rFonts w:ascii="Cambria" w:hAnsi="Cambria" w:cs="Cambria"/>
          <w:bCs/>
          <w:color w:val="00000A"/>
          <w:sz w:val="22"/>
          <w:szCs w:val="22"/>
        </w:rPr>
        <w:t xml:space="preserve"> based on </w:t>
      </w:r>
      <w:r w:rsidR="002378A3">
        <w:rPr>
          <w:rFonts w:ascii="Cambria" w:hAnsi="Cambria" w:cs="Cambria"/>
          <w:bCs/>
          <w:color w:val="00000A"/>
          <w:sz w:val="22"/>
          <w:szCs w:val="22"/>
        </w:rPr>
        <w:t>th</w:t>
      </w:r>
      <w:r w:rsidR="002C559B">
        <w:rPr>
          <w:rFonts w:ascii="Cambria" w:hAnsi="Cambria" w:cs="Cambria"/>
          <w:bCs/>
          <w:color w:val="00000A"/>
          <w:sz w:val="22"/>
          <w:szCs w:val="22"/>
        </w:rPr>
        <w:t>re</w:t>
      </w:r>
      <w:r w:rsidR="002378A3">
        <w:rPr>
          <w:rFonts w:ascii="Cambria" w:hAnsi="Cambria" w:cs="Cambria"/>
          <w:bCs/>
          <w:color w:val="00000A"/>
          <w:sz w:val="22"/>
          <w:szCs w:val="22"/>
        </w:rPr>
        <w:t xml:space="preserve">e principles:  </w:t>
      </w:r>
      <w:r w:rsidR="00BB73A0" w:rsidRPr="002378A3">
        <w:rPr>
          <w:rFonts w:ascii="Cambria" w:hAnsi="Cambria" w:cs="Cambria"/>
          <w:bCs/>
          <w:color w:val="00000A"/>
          <w:sz w:val="22"/>
          <w:szCs w:val="22"/>
        </w:rPr>
        <w:t>enlargement</w:t>
      </w:r>
      <w:r w:rsidR="002C559B">
        <w:rPr>
          <w:rFonts w:ascii="Cambria" w:hAnsi="Cambria" w:cs="Cambria"/>
          <w:bCs/>
          <w:color w:val="00000A"/>
          <w:sz w:val="22"/>
          <w:szCs w:val="22"/>
        </w:rPr>
        <w:t xml:space="preserve">, </w:t>
      </w:r>
      <w:r w:rsidR="00E65830" w:rsidRPr="002378A3">
        <w:rPr>
          <w:rFonts w:ascii="Cambria" w:hAnsi="Cambria" w:cs="Cambria"/>
          <w:bCs/>
          <w:color w:val="00000A"/>
          <w:sz w:val="22"/>
          <w:szCs w:val="22"/>
        </w:rPr>
        <w:t>democratisation</w:t>
      </w:r>
      <w:r w:rsidR="002C559B">
        <w:rPr>
          <w:rFonts w:ascii="Cambria" w:hAnsi="Cambria" w:cs="Cambria"/>
          <w:bCs/>
          <w:color w:val="00000A"/>
          <w:sz w:val="22"/>
          <w:szCs w:val="22"/>
        </w:rPr>
        <w:t xml:space="preserve"> and </w:t>
      </w:r>
      <w:r w:rsidR="00BB73A0" w:rsidRPr="002378A3">
        <w:rPr>
          <w:rFonts w:ascii="Cambria" w:hAnsi="Cambria" w:cs="Cambria"/>
          <w:bCs/>
          <w:color w:val="00000A"/>
          <w:sz w:val="22"/>
          <w:szCs w:val="22"/>
        </w:rPr>
        <w:t>post-national order</w:t>
      </w:r>
      <w:r w:rsidR="002C559B">
        <w:rPr>
          <w:rFonts w:ascii="Cambria" w:hAnsi="Cambria" w:cs="Cambria"/>
          <w:bCs/>
          <w:color w:val="00000A"/>
          <w:sz w:val="22"/>
          <w:szCs w:val="22"/>
        </w:rPr>
        <w:t>.</w:t>
      </w:r>
      <w:r w:rsidR="002C559B">
        <w:rPr>
          <w:rStyle w:val="Fotnotsreferens"/>
          <w:rFonts w:ascii="Cambria" w:hAnsi="Cambria" w:cs="Cambria"/>
          <w:bCs/>
          <w:color w:val="00000A"/>
          <w:sz w:val="22"/>
          <w:szCs w:val="22"/>
        </w:rPr>
        <w:footnoteReference w:id="4"/>
      </w:r>
      <w:r w:rsidR="002C559B">
        <w:rPr>
          <w:rFonts w:ascii="Cambria" w:hAnsi="Cambria" w:cs="Cambria"/>
          <w:bCs/>
          <w:color w:val="00000A"/>
          <w:sz w:val="22"/>
          <w:szCs w:val="22"/>
        </w:rPr>
        <w:t xml:space="preserve"> In the region of Central and Eastern Europe, the three liberal pillars were embodied in </w:t>
      </w:r>
      <w:r w:rsidR="00BB73A0">
        <w:rPr>
          <w:rFonts w:ascii="Cambria" w:hAnsi="Cambria" w:cs="Cambria"/>
          <w:bCs/>
          <w:color w:val="00000A"/>
          <w:sz w:val="22"/>
          <w:szCs w:val="22"/>
        </w:rPr>
        <w:t>three policy vectors:</w:t>
      </w:r>
    </w:p>
    <w:p w:rsidR="00BB73A0" w:rsidRDefault="004E5792" w:rsidP="00BB73A0">
      <w:pPr>
        <w:pStyle w:val="Liststycke"/>
        <w:numPr>
          <w:ilvl w:val="0"/>
          <w:numId w:val="2"/>
        </w:numPr>
        <w:tabs>
          <w:tab w:val="left" w:pos="709"/>
        </w:tabs>
        <w:spacing w:line="360" w:lineRule="auto"/>
        <w:jc w:val="both"/>
        <w:rPr>
          <w:rFonts w:ascii="Cambria" w:hAnsi="Cambria" w:cs="Cambria"/>
          <w:bCs/>
          <w:color w:val="00000A"/>
          <w:sz w:val="22"/>
          <w:szCs w:val="22"/>
        </w:rPr>
      </w:pPr>
      <w:r>
        <w:rPr>
          <w:rFonts w:ascii="Cambria" w:hAnsi="Cambria" w:cs="Cambria"/>
          <w:bCs/>
          <w:color w:val="00000A"/>
          <w:sz w:val="22"/>
          <w:szCs w:val="22"/>
        </w:rPr>
        <w:t>NATO’s expansion to the East</w:t>
      </w:r>
      <w:r w:rsidR="002C559B">
        <w:rPr>
          <w:rFonts w:ascii="Cambria" w:hAnsi="Cambria" w:cs="Cambria"/>
          <w:bCs/>
          <w:color w:val="00000A"/>
          <w:sz w:val="22"/>
          <w:szCs w:val="22"/>
        </w:rPr>
        <w:t xml:space="preserve"> and South</w:t>
      </w:r>
      <w:r>
        <w:rPr>
          <w:rFonts w:ascii="Cambria" w:hAnsi="Cambria" w:cs="Cambria"/>
          <w:bCs/>
          <w:color w:val="00000A"/>
          <w:sz w:val="22"/>
          <w:szCs w:val="22"/>
        </w:rPr>
        <w:t>;</w:t>
      </w:r>
    </w:p>
    <w:p w:rsidR="002C559B" w:rsidRDefault="004E5792" w:rsidP="00BB73A0">
      <w:pPr>
        <w:pStyle w:val="Liststycke"/>
        <w:numPr>
          <w:ilvl w:val="0"/>
          <w:numId w:val="2"/>
        </w:numPr>
        <w:tabs>
          <w:tab w:val="left" w:pos="709"/>
        </w:tabs>
        <w:spacing w:line="360" w:lineRule="auto"/>
        <w:jc w:val="both"/>
        <w:rPr>
          <w:rFonts w:ascii="Cambria" w:hAnsi="Cambria" w:cs="Cambria"/>
          <w:bCs/>
          <w:color w:val="00000A"/>
          <w:sz w:val="22"/>
          <w:szCs w:val="22"/>
        </w:rPr>
      </w:pPr>
      <w:r>
        <w:rPr>
          <w:rFonts w:ascii="Cambria" w:hAnsi="Cambria" w:cs="Cambria"/>
          <w:bCs/>
          <w:color w:val="00000A"/>
          <w:sz w:val="22"/>
          <w:szCs w:val="22"/>
        </w:rPr>
        <w:t xml:space="preserve">the EU’s enlargement and Eastern Partnership </w:t>
      </w:r>
      <w:r w:rsidR="002C559B">
        <w:rPr>
          <w:rFonts w:ascii="Cambria" w:hAnsi="Cambria" w:cs="Cambria"/>
          <w:bCs/>
          <w:color w:val="00000A"/>
          <w:sz w:val="22"/>
          <w:szCs w:val="22"/>
        </w:rPr>
        <w:t>initiative;</w:t>
      </w:r>
    </w:p>
    <w:p w:rsidR="004E5792" w:rsidRDefault="004E5792" w:rsidP="00BB73A0">
      <w:pPr>
        <w:pStyle w:val="Liststycke"/>
        <w:numPr>
          <w:ilvl w:val="0"/>
          <w:numId w:val="2"/>
        </w:numPr>
        <w:tabs>
          <w:tab w:val="left" w:pos="709"/>
        </w:tabs>
        <w:spacing w:line="360" w:lineRule="auto"/>
        <w:jc w:val="both"/>
        <w:rPr>
          <w:rFonts w:ascii="Cambria" w:hAnsi="Cambria" w:cs="Cambria"/>
          <w:bCs/>
          <w:color w:val="00000A"/>
          <w:sz w:val="22"/>
          <w:szCs w:val="22"/>
        </w:rPr>
      </w:pPr>
      <w:r>
        <w:rPr>
          <w:rFonts w:ascii="Cambria" w:hAnsi="Cambria" w:cs="Cambria"/>
          <w:bCs/>
          <w:color w:val="00000A"/>
          <w:sz w:val="22"/>
          <w:szCs w:val="22"/>
        </w:rPr>
        <w:t>Western social engineering</w:t>
      </w:r>
      <w:r w:rsidR="006A4EA8">
        <w:rPr>
          <w:rFonts w:ascii="Cambria" w:hAnsi="Cambria" w:cs="Cambria"/>
          <w:bCs/>
          <w:color w:val="00000A"/>
          <w:sz w:val="22"/>
          <w:szCs w:val="22"/>
        </w:rPr>
        <w:t>.</w:t>
      </w:r>
      <w:r w:rsidR="002C559B">
        <w:rPr>
          <w:rStyle w:val="Fotnotsreferens"/>
          <w:rFonts w:ascii="Cambria" w:hAnsi="Cambria" w:cs="Cambria"/>
          <w:bCs/>
          <w:color w:val="00000A"/>
          <w:sz w:val="22"/>
          <w:szCs w:val="22"/>
        </w:rPr>
        <w:footnoteReference w:id="5"/>
      </w:r>
      <w:r w:rsidR="002C559B">
        <w:rPr>
          <w:rFonts w:ascii="Cambria" w:hAnsi="Cambria" w:cs="Cambria"/>
          <w:bCs/>
          <w:color w:val="00000A"/>
          <w:sz w:val="22"/>
          <w:szCs w:val="22"/>
        </w:rPr>
        <w:t xml:space="preserve"> </w:t>
      </w:r>
    </w:p>
    <w:p w:rsidR="008F61FB" w:rsidRDefault="008F61FB" w:rsidP="002C559B">
      <w:pPr>
        <w:pStyle w:val="Liststycke"/>
        <w:tabs>
          <w:tab w:val="left" w:pos="0"/>
        </w:tabs>
        <w:spacing w:line="360" w:lineRule="auto"/>
        <w:ind w:left="0"/>
        <w:jc w:val="both"/>
        <w:rPr>
          <w:rFonts w:ascii="Cambria" w:hAnsi="Cambria" w:cs="Cambria"/>
          <w:bCs/>
          <w:color w:val="00000A"/>
          <w:sz w:val="22"/>
          <w:szCs w:val="22"/>
        </w:rPr>
      </w:pPr>
    </w:p>
    <w:p w:rsidR="002C559B" w:rsidRDefault="002C559B" w:rsidP="002C559B">
      <w:pPr>
        <w:pStyle w:val="Liststycke"/>
        <w:tabs>
          <w:tab w:val="left" w:pos="0"/>
        </w:tabs>
        <w:spacing w:line="360" w:lineRule="auto"/>
        <w:ind w:left="0"/>
        <w:jc w:val="both"/>
        <w:rPr>
          <w:rFonts w:ascii="Cambria" w:hAnsi="Cambria" w:cs="Cambria"/>
          <w:bCs/>
          <w:color w:val="00000A"/>
          <w:sz w:val="22"/>
          <w:szCs w:val="22"/>
        </w:rPr>
      </w:pPr>
      <w:r>
        <w:rPr>
          <w:rFonts w:ascii="Cambria" w:hAnsi="Cambria" w:cs="Cambria"/>
          <w:bCs/>
          <w:color w:val="00000A"/>
          <w:sz w:val="22"/>
          <w:szCs w:val="22"/>
        </w:rPr>
        <w:t>Firstly, Central and Eastern European states accessed NATO in three rounds,</w:t>
      </w:r>
      <w:r w:rsidR="008F61FB">
        <w:rPr>
          <w:rFonts w:ascii="Cambria" w:hAnsi="Cambria" w:cs="Cambria"/>
          <w:bCs/>
          <w:color w:val="00000A"/>
          <w:sz w:val="22"/>
          <w:szCs w:val="22"/>
        </w:rPr>
        <w:t xml:space="preserve"> which took place in 1999, 2004 and</w:t>
      </w:r>
      <w:r>
        <w:rPr>
          <w:rFonts w:ascii="Cambria" w:hAnsi="Cambria" w:cs="Cambria"/>
          <w:bCs/>
          <w:color w:val="00000A"/>
          <w:sz w:val="22"/>
          <w:szCs w:val="22"/>
        </w:rPr>
        <w:t xml:space="preserve"> 2009 and resulted in the enlargement of the Alliance by twelve members.</w:t>
      </w:r>
      <w:r>
        <w:rPr>
          <w:rStyle w:val="Fotnotsreferens"/>
          <w:rFonts w:ascii="Cambria" w:hAnsi="Cambria" w:cs="Cambria"/>
          <w:bCs/>
          <w:color w:val="00000A"/>
          <w:sz w:val="22"/>
          <w:szCs w:val="22"/>
        </w:rPr>
        <w:footnoteReference w:id="6"/>
      </w:r>
      <w:r>
        <w:rPr>
          <w:rFonts w:ascii="Cambria" w:hAnsi="Cambria" w:cs="Cambria"/>
          <w:bCs/>
          <w:color w:val="00000A"/>
          <w:sz w:val="22"/>
          <w:szCs w:val="22"/>
        </w:rPr>
        <w:t xml:space="preserve"> Additionally, the Bucharest Summit in 2008 agreed that Ukraine and Georgia would become NATO members, which, however, has not been fulfilled.</w:t>
      </w:r>
      <w:r>
        <w:rPr>
          <w:rStyle w:val="Fotnotsreferens"/>
          <w:rFonts w:ascii="Cambria" w:hAnsi="Cambria" w:cs="Cambria"/>
          <w:bCs/>
          <w:color w:val="00000A"/>
          <w:sz w:val="22"/>
          <w:szCs w:val="22"/>
        </w:rPr>
        <w:footnoteReference w:id="7"/>
      </w:r>
    </w:p>
    <w:p w:rsidR="008F61FB" w:rsidRDefault="008F61FB" w:rsidP="002C559B">
      <w:pPr>
        <w:pStyle w:val="Liststycke"/>
        <w:tabs>
          <w:tab w:val="left" w:pos="0"/>
        </w:tabs>
        <w:spacing w:line="360" w:lineRule="auto"/>
        <w:ind w:left="0"/>
        <w:jc w:val="both"/>
        <w:rPr>
          <w:rFonts w:ascii="Cambria" w:hAnsi="Cambria" w:cs="Cambria"/>
          <w:bCs/>
          <w:color w:val="00000A"/>
          <w:sz w:val="22"/>
          <w:szCs w:val="22"/>
        </w:rPr>
      </w:pPr>
    </w:p>
    <w:p w:rsidR="008F61FB" w:rsidRDefault="002C559B" w:rsidP="008F61FB">
      <w:pPr>
        <w:pStyle w:val="Liststycke"/>
        <w:tabs>
          <w:tab w:val="left" w:pos="0"/>
        </w:tabs>
        <w:spacing w:line="360" w:lineRule="auto"/>
        <w:ind w:left="0"/>
        <w:jc w:val="both"/>
        <w:rPr>
          <w:rFonts w:ascii="Cambria" w:hAnsi="Cambria" w:cs="Cambria"/>
          <w:bCs/>
          <w:color w:val="00000A"/>
          <w:sz w:val="22"/>
          <w:szCs w:val="22"/>
        </w:rPr>
      </w:pPr>
      <w:r>
        <w:rPr>
          <w:rFonts w:ascii="Cambria" w:hAnsi="Cambria" w:cs="Cambria"/>
          <w:bCs/>
          <w:color w:val="00000A"/>
          <w:sz w:val="22"/>
          <w:szCs w:val="22"/>
        </w:rPr>
        <w:t xml:space="preserve">Secondly, </w:t>
      </w:r>
      <w:r w:rsidR="0057728F">
        <w:rPr>
          <w:rFonts w:ascii="Cambria" w:hAnsi="Cambria" w:cs="Cambria"/>
          <w:bCs/>
          <w:color w:val="00000A"/>
          <w:sz w:val="22"/>
          <w:szCs w:val="22"/>
        </w:rPr>
        <w:t>between</w:t>
      </w:r>
      <w:r>
        <w:rPr>
          <w:rFonts w:ascii="Cambria" w:hAnsi="Cambria" w:cs="Cambria"/>
          <w:bCs/>
          <w:color w:val="00000A"/>
          <w:sz w:val="22"/>
          <w:szCs w:val="22"/>
        </w:rPr>
        <w:t xml:space="preserve"> 2004 </w:t>
      </w:r>
      <w:r w:rsidR="0057728F">
        <w:rPr>
          <w:rFonts w:ascii="Cambria" w:hAnsi="Cambria" w:cs="Cambria"/>
          <w:bCs/>
          <w:color w:val="00000A"/>
          <w:sz w:val="22"/>
          <w:szCs w:val="22"/>
        </w:rPr>
        <w:t>and</w:t>
      </w:r>
      <w:r>
        <w:rPr>
          <w:rFonts w:ascii="Cambria" w:hAnsi="Cambria" w:cs="Cambria"/>
          <w:bCs/>
          <w:color w:val="00000A"/>
          <w:sz w:val="22"/>
          <w:szCs w:val="22"/>
        </w:rPr>
        <w:t xml:space="preserve"> 2013 the EU significantly expanded its territory to the East and South. </w:t>
      </w:r>
      <w:r w:rsidR="008F61FB">
        <w:rPr>
          <w:rFonts w:ascii="Cambria" w:hAnsi="Cambria" w:cs="Cambria"/>
          <w:bCs/>
          <w:color w:val="00000A"/>
          <w:sz w:val="22"/>
          <w:szCs w:val="22"/>
        </w:rPr>
        <w:t>Furthermore, in</w:t>
      </w:r>
      <w:r>
        <w:rPr>
          <w:rFonts w:ascii="Cambria" w:hAnsi="Cambria" w:cs="Cambria"/>
          <w:bCs/>
          <w:color w:val="00000A"/>
          <w:sz w:val="22"/>
          <w:szCs w:val="22"/>
        </w:rPr>
        <w:t xml:space="preserve"> 2009 the Union launched the Eastern Partnership initiative, which envisaged establishing political and economic associations between the EU on </w:t>
      </w:r>
      <w:r w:rsidR="008F61FB">
        <w:rPr>
          <w:rFonts w:ascii="Cambria" w:hAnsi="Cambria" w:cs="Cambria"/>
          <w:bCs/>
          <w:color w:val="00000A"/>
          <w:sz w:val="22"/>
          <w:szCs w:val="22"/>
        </w:rPr>
        <w:t>the one hand</w:t>
      </w:r>
      <w:r>
        <w:rPr>
          <w:rFonts w:ascii="Cambria" w:hAnsi="Cambria" w:cs="Cambria"/>
          <w:bCs/>
          <w:color w:val="00000A"/>
          <w:sz w:val="22"/>
          <w:szCs w:val="22"/>
        </w:rPr>
        <w:t xml:space="preserve"> and Armenia, Azerbaijan, Belarus, Georgia, Moldo</w:t>
      </w:r>
      <w:r w:rsidR="008F61FB">
        <w:rPr>
          <w:rFonts w:ascii="Cambria" w:hAnsi="Cambria" w:cs="Cambria"/>
          <w:bCs/>
          <w:color w:val="00000A"/>
          <w:sz w:val="22"/>
          <w:szCs w:val="22"/>
        </w:rPr>
        <w:t>va and Ukraine on the other</w:t>
      </w:r>
      <w:r>
        <w:rPr>
          <w:rFonts w:ascii="Cambria" w:hAnsi="Cambria" w:cs="Cambria"/>
          <w:bCs/>
          <w:color w:val="00000A"/>
          <w:sz w:val="22"/>
          <w:szCs w:val="22"/>
        </w:rPr>
        <w:t>.</w:t>
      </w:r>
      <w:r>
        <w:rPr>
          <w:rStyle w:val="Fotnotsreferens"/>
          <w:rFonts w:ascii="Cambria" w:hAnsi="Cambria" w:cs="Cambria"/>
          <w:bCs/>
          <w:color w:val="00000A"/>
          <w:sz w:val="22"/>
          <w:szCs w:val="22"/>
        </w:rPr>
        <w:footnoteReference w:id="8"/>
      </w:r>
      <w:r>
        <w:rPr>
          <w:rFonts w:ascii="Cambria" w:hAnsi="Cambria" w:cs="Cambria"/>
          <w:bCs/>
          <w:color w:val="00000A"/>
          <w:sz w:val="22"/>
          <w:szCs w:val="22"/>
        </w:rPr>
        <w:t xml:space="preserve"> Although this initiative aimed at supporting democratic </w:t>
      </w:r>
      <w:r>
        <w:rPr>
          <w:rFonts w:ascii="Cambria" w:hAnsi="Cambria" w:cs="Cambria"/>
          <w:bCs/>
          <w:color w:val="00000A"/>
          <w:sz w:val="22"/>
          <w:szCs w:val="22"/>
        </w:rPr>
        <w:lastRenderedPageBreak/>
        <w:t xml:space="preserve">governance and economic development, some experts interpreted this policy initiative </w:t>
      </w:r>
      <w:r w:rsidR="00B536E5">
        <w:rPr>
          <w:rFonts w:ascii="Cambria" w:hAnsi="Cambria" w:cs="Cambria"/>
          <w:bCs/>
          <w:color w:val="00000A"/>
          <w:sz w:val="22"/>
          <w:szCs w:val="22"/>
        </w:rPr>
        <w:t>as the EU’s attempt to build a ‘zone of comfort’</w:t>
      </w:r>
      <w:r>
        <w:rPr>
          <w:rFonts w:ascii="Cambria" w:hAnsi="Cambria" w:cs="Cambria"/>
          <w:bCs/>
          <w:color w:val="00000A"/>
          <w:sz w:val="22"/>
          <w:szCs w:val="22"/>
        </w:rPr>
        <w:t xml:space="preserve"> between its borders and Russia.</w:t>
      </w:r>
      <w:r>
        <w:rPr>
          <w:rStyle w:val="Fotnotsreferens"/>
          <w:rFonts w:ascii="Cambria" w:hAnsi="Cambria" w:cs="Cambria"/>
          <w:bCs/>
          <w:color w:val="00000A"/>
          <w:sz w:val="22"/>
          <w:szCs w:val="22"/>
        </w:rPr>
        <w:footnoteReference w:id="9"/>
      </w:r>
      <w:r>
        <w:rPr>
          <w:rFonts w:ascii="Cambria" w:hAnsi="Cambria" w:cs="Cambria"/>
          <w:bCs/>
          <w:color w:val="00000A"/>
          <w:sz w:val="22"/>
          <w:szCs w:val="22"/>
        </w:rPr>
        <w:t xml:space="preserve"> </w:t>
      </w:r>
      <w:r w:rsidR="006A4EA8">
        <w:rPr>
          <w:rFonts w:ascii="Cambria" w:hAnsi="Cambria" w:cs="Cambria"/>
          <w:bCs/>
          <w:color w:val="00000A"/>
          <w:sz w:val="22"/>
          <w:szCs w:val="22"/>
        </w:rPr>
        <w:t xml:space="preserve">As for Ukraine, the political and economic parts of its Association Agreement with the EU were signed in 2014. </w:t>
      </w:r>
    </w:p>
    <w:p w:rsidR="008F61FB" w:rsidRDefault="008F61FB" w:rsidP="008F61FB">
      <w:pPr>
        <w:pStyle w:val="Liststycke"/>
        <w:tabs>
          <w:tab w:val="left" w:pos="0"/>
        </w:tabs>
        <w:spacing w:line="360" w:lineRule="auto"/>
        <w:ind w:left="0"/>
        <w:jc w:val="both"/>
        <w:rPr>
          <w:rFonts w:ascii="Cambria" w:hAnsi="Cambria" w:cs="Cambria"/>
          <w:bCs/>
          <w:color w:val="00000A"/>
          <w:sz w:val="22"/>
          <w:szCs w:val="22"/>
        </w:rPr>
      </w:pPr>
    </w:p>
    <w:p w:rsidR="006A4EA8" w:rsidRDefault="006A4EA8" w:rsidP="008F61FB">
      <w:pPr>
        <w:pStyle w:val="Liststycke"/>
        <w:tabs>
          <w:tab w:val="left" w:pos="0"/>
        </w:tabs>
        <w:spacing w:line="360" w:lineRule="auto"/>
        <w:ind w:left="0"/>
        <w:jc w:val="both"/>
        <w:rPr>
          <w:rFonts w:ascii="Cambria" w:hAnsi="Cambria" w:cs="Cambria"/>
          <w:bCs/>
          <w:color w:val="00000A"/>
          <w:sz w:val="22"/>
          <w:szCs w:val="22"/>
        </w:rPr>
      </w:pPr>
      <w:r>
        <w:rPr>
          <w:rFonts w:ascii="Cambria" w:hAnsi="Cambria" w:cs="Cambria"/>
          <w:bCs/>
          <w:color w:val="00000A"/>
          <w:sz w:val="22"/>
          <w:szCs w:val="22"/>
        </w:rPr>
        <w:t xml:space="preserve">Finally, </w:t>
      </w:r>
      <w:r w:rsidR="0057728F">
        <w:rPr>
          <w:rFonts w:ascii="Cambria" w:hAnsi="Cambria" w:cs="Cambria"/>
          <w:bCs/>
          <w:color w:val="00000A"/>
          <w:sz w:val="22"/>
          <w:szCs w:val="22"/>
        </w:rPr>
        <w:t>in the former Soviet Union</w:t>
      </w:r>
      <w:r>
        <w:rPr>
          <w:rFonts w:ascii="Cambria" w:hAnsi="Cambria" w:cs="Cambria"/>
          <w:bCs/>
          <w:color w:val="00000A"/>
          <w:sz w:val="22"/>
          <w:szCs w:val="22"/>
        </w:rPr>
        <w:t xml:space="preserve">, democratic governance and values were promoted through </w:t>
      </w:r>
      <w:r w:rsidR="008F61FB">
        <w:rPr>
          <w:rFonts w:ascii="Cambria" w:hAnsi="Cambria" w:cs="Cambria"/>
          <w:bCs/>
          <w:color w:val="00000A"/>
          <w:sz w:val="22"/>
          <w:szCs w:val="22"/>
        </w:rPr>
        <w:t>what Mearsheimer</w:t>
      </w:r>
      <w:r w:rsidR="001B0630">
        <w:rPr>
          <w:rFonts w:ascii="Cambria" w:hAnsi="Cambria" w:cs="Cambria"/>
          <w:bCs/>
          <w:color w:val="00000A"/>
          <w:sz w:val="22"/>
          <w:szCs w:val="22"/>
        </w:rPr>
        <w:t xml:space="preserve"> </w:t>
      </w:r>
      <w:r w:rsidR="008F61FB">
        <w:rPr>
          <w:rFonts w:ascii="Cambria" w:hAnsi="Cambria" w:cs="Cambria"/>
          <w:bCs/>
          <w:color w:val="00000A"/>
          <w:sz w:val="22"/>
          <w:szCs w:val="22"/>
        </w:rPr>
        <w:t>calls</w:t>
      </w:r>
      <w:r>
        <w:rPr>
          <w:rFonts w:ascii="Cambria" w:hAnsi="Cambria" w:cs="Cambria"/>
          <w:bCs/>
          <w:color w:val="00000A"/>
          <w:sz w:val="22"/>
          <w:szCs w:val="22"/>
        </w:rPr>
        <w:t xml:space="preserve"> “Western social engineering”</w:t>
      </w:r>
      <w:r w:rsidR="001B0630">
        <w:rPr>
          <w:rFonts w:ascii="Cambria" w:hAnsi="Cambria" w:cs="Cambria"/>
          <w:bCs/>
          <w:color w:val="00000A"/>
          <w:sz w:val="22"/>
          <w:szCs w:val="22"/>
        </w:rPr>
        <w:t>.</w:t>
      </w:r>
      <w:r>
        <w:rPr>
          <w:rStyle w:val="Fotnotsreferens"/>
          <w:rFonts w:ascii="Cambria" w:hAnsi="Cambria" w:cs="Cambria"/>
          <w:bCs/>
          <w:color w:val="00000A"/>
          <w:sz w:val="22"/>
          <w:szCs w:val="22"/>
        </w:rPr>
        <w:footnoteReference w:id="10"/>
      </w:r>
      <w:r>
        <w:rPr>
          <w:rFonts w:ascii="Cambria" w:hAnsi="Cambria" w:cs="Cambria"/>
          <w:bCs/>
          <w:color w:val="00000A"/>
          <w:sz w:val="22"/>
          <w:szCs w:val="22"/>
        </w:rPr>
        <w:t xml:space="preserve"> This policy implied providing support for civil organisations and initiatives</w:t>
      </w:r>
      <w:r w:rsidR="008F61FB">
        <w:rPr>
          <w:rFonts w:ascii="Cambria" w:hAnsi="Cambria" w:cs="Cambria"/>
          <w:bCs/>
          <w:color w:val="00000A"/>
          <w:sz w:val="22"/>
          <w:szCs w:val="22"/>
        </w:rPr>
        <w:t xml:space="preserve"> that </w:t>
      </w:r>
      <w:r>
        <w:rPr>
          <w:rFonts w:ascii="Cambria" w:hAnsi="Cambria" w:cs="Cambria"/>
          <w:bCs/>
          <w:color w:val="00000A"/>
          <w:sz w:val="22"/>
          <w:szCs w:val="22"/>
        </w:rPr>
        <w:t>advocated</w:t>
      </w:r>
      <w:r w:rsidR="00B536E5">
        <w:rPr>
          <w:rFonts w:ascii="Cambria" w:hAnsi="Cambria" w:cs="Cambria"/>
          <w:bCs/>
          <w:color w:val="00000A"/>
          <w:sz w:val="22"/>
          <w:szCs w:val="22"/>
        </w:rPr>
        <w:t xml:space="preserve"> the Western political course in</w:t>
      </w:r>
      <w:r>
        <w:rPr>
          <w:rFonts w:ascii="Cambria" w:hAnsi="Cambria" w:cs="Cambria"/>
          <w:bCs/>
          <w:color w:val="00000A"/>
          <w:sz w:val="22"/>
          <w:szCs w:val="22"/>
        </w:rPr>
        <w:t xml:space="preserve"> their countries.</w:t>
      </w:r>
      <w:r>
        <w:rPr>
          <w:rStyle w:val="Fotnotsreferens"/>
          <w:rFonts w:ascii="Cambria" w:hAnsi="Cambria" w:cs="Cambria"/>
          <w:bCs/>
          <w:color w:val="00000A"/>
          <w:sz w:val="22"/>
          <w:szCs w:val="22"/>
        </w:rPr>
        <w:footnoteReference w:id="11"/>
      </w:r>
      <w:r>
        <w:rPr>
          <w:rFonts w:ascii="Cambria" w:hAnsi="Cambria" w:cs="Cambria"/>
          <w:bCs/>
          <w:color w:val="00000A"/>
          <w:sz w:val="22"/>
          <w:szCs w:val="22"/>
        </w:rPr>
        <w:t xml:space="preserve"> In Ukraine, this mechanism was exercised through the instrument of the National Endowment for Democracy, a non</w:t>
      </w:r>
      <w:r w:rsidR="008F61FB">
        <w:rPr>
          <w:rFonts w:ascii="Cambria" w:hAnsi="Cambria" w:cs="Cambria"/>
          <w:bCs/>
          <w:color w:val="00000A"/>
          <w:sz w:val="22"/>
          <w:szCs w:val="22"/>
        </w:rPr>
        <w:t>-profit organisation that gives financial assistance</w:t>
      </w:r>
      <w:r>
        <w:rPr>
          <w:rFonts w:ascii="Cambria" w:hAnsi="Cambria" w:cs="Cambria"/>
          <w:bCs/>
          <w:color w:val="00000A"/>
          <w:sz w:val="22"/>
          <w:szCs w:val="22"/>
        </w:rPr>
        <w:t xml:space="preserve"> to a wide range of Ukrainian NGOs, research centres, political and media projects.</w:t>
      </w:r>
    </w:p>
    <w:p w:rsidR="00D636FD" w:rsidRDefault="00D636FD" w:rsidP="007F511E">
      <w:pPr>
        <w:pStyle w:val="Liststycke"/>
        <w:spacing w:line="360" w:lineRule="auto"/>
        <w:ind w:left="0"/>
        <w:jc w:val="both"/>
        <w:rPr>
          <w:rFonts w:ascii="Cambria" w:hAnsi="Cambria" w:cs="Cambria"/>
          <w:bCs/>
          <w:color w:val="00000A"/>
          <w:sz w:val="22"/>
          <w:szCs w:val="22"/>
        </w:rPr>
      </w:pPr>
    </w:p>
    <w:p w:rsidR="007F511E" w:rsidRDefault="001B0630" w:rsidP="007F511E">
      <w:pPr>
        <w:pStyle w:val="Liststycke"/>
        <w:spacing w:line="360" w:lineRule="auto"/>
        <w:ind w:left="0"/>
        <w:jc w:val="both"/>
        <w:rPr>
          <w:rFonts w:ascii="Cambria" w:hAnsi="Cambria" w:cs="Cambria"/>
          <w:bCs/>
          <w:color w:val="00000A"/>
          <w:sz w:val="22"/>
          <w:szCs w:val="22"/>
        </w:rPr>
      </w:pPr>
      <w:r>
        <w:rPr>
          <w:rFonts w:ascii="Cambria" w:hAnsi="Cambria" w:cs="Cambria"/>
          <w:bCs/>
          <w:color w:val="00000A"/>
          <w:sz w:val="22"/>
          <w:szCs w:val="22"/>
        </w:rPr>
        <w:t>When viewing</w:t>
      </w:r>
      <w:r w:rsidR="006A4EA8">
        <w:rPr>
          <w:rFonts w:ascii="Cambria" w:hAnsi="Cambria" w:cs="Cambria"/>
          <w:bCs/>
          <w:color w:val="00000A"/>
          <w:sz w:val="22"/>
          <w:szCs w:val="22"/>
        </w:rPr>
        <w:t xml:space="preserve"> Ukraine through the Western </w:t>
      </w:r>
      <w:r w:rsidR="00D636FD">
        <w:rPr>
          <w:rFonts w:ascii="Cambria" w:hAnsi="Cambria" w:cs="Cambria"/>
          <w:bCs/>
          <w:color w:val="00000A"/>
          <w:sz w:val="22"/>
          <w:szCs w:val="22"/>
        </w:rPr>
        <w:t xml:space="preserve">policy </w:t>
      </w:r>
      <w:r w:rsidR="006A4EA8">
        <w:rPr>
          <w:rFonts w:ascii="Cambria" w:hAnsi="Cambria" w:cs="Cambria"/>
          <w:bCs/>
          <w:color w:val="00000A"/>
          <w:sz w:val="22"/>
          <w:szCs w:val="22"/>
        </w:rPr>
        <w:t xml:space="preserve">perspective, it </w:t>
      </w:r>
      <w:r w:rsidR="00D636FD">
        <w:rPr>
          <w:rFonts w:ascii="Cambria" w:hAnsi="Cambria" w:cs="Cambria"/>
          <w:bCs/>
          <w:color w:val="00000A"/>
          <w:sz w:val="22"/>
          <w:szCs w:val="22"/>
        </w:rPr>
        <w:t>is clear</w:t>
      </w:r>
      <w:r w:rsidR="006A4EA8">
        <w:rPr>
          <w:rFonts w:ascii="Cambria" w:hAnsi="Cambria" w:cs="Cambria"/>
          <w:bCs/>
          <w:color w:val="00000A"/>
          <w:sz w:val="22"/>
          <w:szCs w:val="22"/>
        </w:rPr>
        <w:t xml:space="preserve"> that it has been in the orbit of the three policy vectors described above. However, it has rarely been envisaged as part of Euro-Atlantic system on </w:t>
      </w:r>
      <w:r>
        <w:rPr>
          <w:rFonts w:ascii="Cambria" w:hAnsi="Cambria" w:cs="Cambria"/>
          <w:bCs/>
          <w:color w:val="00000A"/>
          <w:sz w:val="22"/>
          <w:szCs w:val="22"/>
        </w:rPr>
        <w:t xml:space="preserve">the </w:t>
      </w:r>
      <w:r w:rsidR="006A4EA8">
        <w:rPr>
          <w:rFonts w:ascii="Cambria" w:hAnsi="Cambria" w:cs="Cambria"/>
          <w:bCs/>
          <w:color w:val="00000A"/>
          <w:sz w:val="22"/>
          <w:szCs w:val="22"/>
        </w:rPr>
        <w:t xml:space="preserve">grounds of full membership. </w:t>
      </w:r>
      <w:r w:rsidR="00D636FD">
        <w:rPr>
          <w:rFonts w:ascii="Cambria" w:hAnsi="Cambria" w:cs="Cambria"/>
          <w:bCs/>
          <w:color w:val="00000A"/>
          <w:sz w:val="22"/>
          <w:szCs w:val="22"/>
        </w:rPr>
        <w:t>I</w:t>
      </w:r>
      <w:r w:rsidR="006A4EA8" w:rsidRPr="00D636FD">
        <w:rPr>
          <w:rFonts w:ascii="Cambria" w:hAnsi="Cambria" w:cs="Cambria"/>
          <w:bCs/>
          <w:color w:val="00000A"/>
          <w:sz w:val="22"/>
          <w:szCs w:val="22"/>
        </w:rPr>
        <w:t xml:space="preserve">t can be suggested that the NATO’s and EU’s interest in Ukraine </w:t>
      </w:r>
      <w:r w:rsidR="00D636FD">
        <w:rPr>
          <w:rFonts w:ascii="Cambria" w:hAnsi="Cambria" w:cs="Cambria"/>
          <w:bCs/>
          <w:color w:val="00000A"/>
          <w:sz w:val="22"/>
          <w:szCs w:val="22"/>
        </w:rPr>
        <w:t>is mainly driven by</w:t>
      </w:r>
      <w:r w:rsidR="006A4EA8" w:rsidRPr="00D636FD">
        <w:rPr>
          <w:rFonts w:ascii="Cambria" w:hAnsi="Cambria" w:cs="Cambria"/>
          <w:bCs/>
          <w:color w:val="00000A"/>
          <w:sz w:val="22"/>
          <w:szCs w:val="22"/>
        </w:rPr>
        <w:t xml:space="preserve"> geopolitical reasoning: a stable and democratic partner on the Eastern borders.</w:t>
      </w:r>
      <w:r w:rsidR="00B536E5">
        <w:rPr>
          <w:rFonts w:ascii="Cambria" w:hAnsi="Cambria" w:cs="Cambria"/>
          <w:bCs/>
          <w:color w:val="00000A"/>
          <w:sz w:val="22"/>
          <w:szCs w:val="22"/>
        </w:rPr>
        <w:t xml:space="preserve"> </w:t>
      </w:r>
      <w:r w:rsidR="006A4EA8">
        <w:rPr>
          <w:rFonts w:ascii="Cambria" w:hAnsi="Cambria" w:cs="Cambria"/>
          <w:bCs/>
          <w:color w:val="00000A"/>
          <w:sz w:val="22"/>
          <w:szCs w:val="22"/>
        </w:rPr>
        <w:t>The Ukrainian crisis has actualised the debate on Ukraine’s place i</w:t>
      </w:r>
      <w:r w:rsidR="006A1911">
        <w:rPr>
          <w:rFonts w:ascii="Cambria" w:hAnsi="Cambria" w:cs="Cambria"/>
          <w:bCs/>
          <w:color w:val="00000A"/>
          <w:sz w:val="22"/>
          <w:szCs w:val="22"/>
        </w:rPr>
        <w:t>n the Euro-Atlantic environment;</w:t>
      </w:r>
      <w:r w:rsidR="006A4EA8">
        <w:rPr>
          <w:rFonts w:ascii="Cambria" w:hAnsi="Cambria" w:cs="Cambria"/>
          <w:bCs/>
          <w:color w:val="00000A"/>
          <w:sz w:val="22"/>
          <w:szCs w:val="22"/>
        </w:rPr>
        <w:t xml:space="preserve"> </w:t>
      </w:r>
      <w:r w:rsidR="006A4EA8">
        <w:rPr>
          <w:rFonts w:ascii="Cambria" w:hAnsi="Cambria" w:cs="Cambria"/>
          <w:bCs/>
          <w:color w:val="00000A"/>
          <w:sz w:val="22"/>
          <w:szCs w:val="22"/>
        </w:rPr>
        <w:lastRenderedPageBreak/>
        <w:t xml:space="preserve">however, </w:t>
      </w:r>
      <w:r w:rsidR="006A1911">
        <w:rPr>
          <w:rFonts w:ascii="Cambria" w:hAnsi="Cambria" w:cs="Cambria"/>
          <w:bCs/>
          <w:color w:val="00000A"/>
          <w:sz w:val="22"/>
          <w:szCs w:val="22"/>
        </w:rPr>
        <w:t xml:space="preserve">it </w:t>
      </w:r>
      <w:r w:rsidR="006A4EA8">
        <w:rPr>
          <w:rFonts w:ascii="Cambria" w:hAnsi="Cambria" w:cs="Cambria"/>
          <w:bCs/>
          <w:color w:val="00000A"/>
          <w:sz w:val="22"/>
          <w:szCs w:val="22"/>
        </w:rPr>
        <w:t xml:space="preserve">has not drastically changed the EU’s and NATO’s visions of Ukraine. </w:t>
      </w:r>
      <w:r w:rsidR="00A9300D" w:rsidRPr="00D636FD">
        <w:rPr>
          <w:rFonts w:ascii="Cambria" w:hAnsi="Cambria" w:cs="Cambria"/>
          <w:bCs/>
          <w:color w:val="00000A"/>
          <w:sz w:val="22"/>
          <w:szCs w:val="22"/>
        </w:rPr>
        <w:t xml:space="preserve">D. Trenin, a Russian analyst and director of Carnegie Moscow Centre, has summarised </w:t>
      </w:r>
      <w:r w:rsidR="006A4EA8" w:rsidRPr="00D636FD">
        <w:rPr>
          <w:rFonts w:ascii="Cambria" w:hAnsi="Cambria" w:cs="Cambria"/>
          <w:bCs/>
          <w:color w:val="00000A"/>
          <w:sz w:val="22"/>
          <w:szCs w:val="22"/>
        </w:rPr>
        <w:t xml:space="preserve">the West’s </w:t>
      </w:r>
      <w:r w:rsidR="00A9300D" w:rsidRPr="00D636FD">
        <w:rPr>
          <w:rFonts w:ascii="Cambria" w:hAnsi="Cambria" w:cs="Cambria"/>
          <w:bCs/>
          <w:color w:val="00000A"/>
          <w:sz w:val="22"/>
          <w:szCs w:val="22"/>
        </w:rPr>
        <w:t xml:space="preserve">current </w:t>
      </w:r>
      <w:r w:rsidR="006A4EA8" w:rsidRPr="00D636FD">
        <w:rPr>
          <w:rFonts w:ascii="Cambria" w:hAnsi="Cambria" w:cs="Cambria"/>
          <w:bCs/>
          <w:color w:val="00000A"/>
          <w:sz w:val="22"/>
          <w:szCs w:val="22"/>
        </w:rPr>
        <w:t>position in the Ukrainian crisis in the following points:</w:t>
      </w:r>
    </w:p>
    <w:p w:rsidR="007F511E" w:rsidRDefault="007F511E" w:rsidP="007F511E">
      <w:pPr>
        <w:pStyle w:val="Liststycke"/>
        <w:numPr>
          <w:ilvl w:val="0"/>
          <w:numId w:val="3"/>
        </w:numPr>
        <w:spacing w:line="360" w:lineRule="auto"/>
        <w:jc w:val="both"/>
        <w:rPr>
          <w:rFonts w:ascii="Cambria" w:hAnsi="Cambria" w:cs="Cambria"/>
          <w:bCs/>
          <w:color w:val="00000A"/>
          <w:sz w:val="22"/>
          <w:szCs w:val="22"/>
        </w:rPr>
      </w:pPr>
      <w:r>
        <w:rPr>
          <w:rFonts w:ascii="Cambria" w:hAnsi="Cambria" w:cs="Cambria"/>
          <w:bCs/>
          <w:color w:val="00000A"/>
          <w:sz w:val="22"/>
          <w:szCs w:val="22"/>
        </w:rPr>
        <w:t>Ukraine is seen through the lenses of Russian policy</w:t>
      </w:r>
      <w:r w:rsidR="007C12AF">
        <w:rPr>
          <w:rFonts w:ascii="Cambria" w:hAnsi="Cambria" w:cs="Cambria"/>
          <w:bCs/>
          <w:color w:val="00000A"/>
          <w:sz w:val="22"/>
          <w:szCs w:val="22"/>
        </w:rPr>
        <w:t>, therefore, tackl</w:t>
      </w:r>
      <w:r w:rsidR="007770C4">
        <w:rPr>
          <w:rFonts w:ascii="Cambria" w:hAnsi="Cambria" w:cs="Cambria"/>
          <w:bCs/>
          <w:color w:val="00000A"/>
          <w:sz w:val="22"/>
          <w:szCs w:val="22"/>
        </w:rPr>
        <w:t>ing the Ukrainian crisis implies</w:t>
      </w:r>
      <w:r w:rsidR="007C12AF">
        <w:rPr>
          <w:rFonts w:ascii="Cambria" w:hAnsi="Cambria" w:cs="Cambria"/>
          <w:bCs/>
          <w:color w:val="00000A"/>
          <w:sz w:val="22"/>
          <w:szCs w:val="22"/>
        </w:rPr>
        <w:t xml:space="preserve"> “dealing with Russia”.</w:t>
      </w:r>
      <w:r w:rsidR="006A4EA8">
        <w:rPr>
          <w:rStyle w:val="Fotnotsreferens"/>
          <w:rFonts w:ascii="Cambria" w:hAnsi="Cambria" w:cs="Cambria"/>
          <w:bCs/>
          <w:color w:val="00000A"/>
          <w:sz w:val="22"/>
          <w:szCs w:val="22"/>
        </w:rPr>
        <w:footnoteReference w:id="12"/>
      </w:r>
    </w:p>
    <w:p w:rsidR="007F511E" w:rsidRDefault="006A4EA8" w:rsidP="007F511E">
      <w:pPr>
        <w:pStyle w:val="Liststycke"/>
        <w:numPr>
          <w:ilvl w:val="0"/>
          <w:numId w:val="3"/>
        </w:numPr>
        <w:spacing w:line="360" w:lineRule="auto"/>
        <w:jc w:val="both"/>
        <w:rPr>
          <w:rFonts w:ascii="Cambria" w:hAnsi="Cambria" w:cs="Cambria"/>
          <w:bCs/>
          <w:color w:val="00000A"/>
          <w:sz w:val="22"/>
          <w:szCs w:val="22"/>
        </w:rPr>
      </w:pPr>
      <w:r>
        <w:rPr>
          <w:rFonts w:ascii="Cambria" w:hAnsi="Cambria" w:cs="Cambria"/>
          <w:bCs/>
          <w:color w:val="00000A"/>
          <w:sz w:val="22"/>
          <w:szCs w:val="22"/>
        </w:rPr>
        <w:t>At the moment, there is no support for Ukraine’s membership in NATO.</w:t>
      </w:r>
      <w:r>
        <w:rPr>
          <w:rStyle w:val="Fotnotsreferens"/>
          <w:rFonts w:ascii="Cambria" w:hAnsi="Cambria" w:cs="Cambria"/>
          <w:bCs/>
          <w:color w:val="00000A"/>
          <w:sz w:val="22"/>
          <w:szCs w:val="22"/>
        </w:rPr>
        <w:footnoteReference w:id="13"/>
      </w:r>
    </w:p>
    <w:p w:rsidR="008711A4" w:rsidRDefault="006A4EA8" w:rsidP="007F511E">
      <w:pPr>
        <w:pStyle w:val="Liststycke"/>
        <w:numPr>
          <w:ilvl w:val="0"/>
          <w:numId w:val="3"/>
        </w:numPr>
        <w:spacing w:line="360" w:lineRule="auto"/>
        <w:jc w:val="both"/>
        <w:rPr>
          <w:rFonts w:ascii="Cambria" w:hAnsi="Cambria" w:cs="Cambria"/>
          <w:bCs/>
          <w:color w:val="00000A"/>
          <w:sz w:val="22"/>
          <w:szCs w:val="22"/>
        </w:rPr>
      </w:pPr>
      <w:r>
        <w:rPr>
          <w:rFonts w:ascii="Cambria" w:hAnsi="Cambria" w:cs="Cambria"/>
          <w:bCs/>
          <w:color w:val="00000A"/>
          <w:sz w:val="22"/>
          <w:szCs w:val="22"/>
        </w:rPr>
        <w:t xml:space="preserve">Ukraine’s chances to become </w:t>
      </w:r>
      <w:r w:rsidR="00D636FD">
        <w:rPr>
          <w:rFonts w:ascii="Cambria" w:hAnsi="Cambria" w:cs="Cambria"/>
          <w:bCs/>
          <w:color w:val="00000A"/>
          <w:sz w:val="22"/>
          <w:szCs w:val="22"/>
        </w:rPr>
        <w:t>an EU member</w:t>
      </w:r>
      <w:r>
        <w:rPr>
          <w:rFonts w:ascii="Cambria" w:hAnsi="Cambria" w:cs="Cambria"/>
          <w:bCs/>
          <w:color w:val="00000A"/>
          <w:sz w:val="22"/>
          <w:szCs w:val="22"/>
        </w:rPr>
        <w:t xml:space="preserve"> in the nearest future are rather low.</w:t>
      </w:r>
      <w:r>
        <w:rPr>
          <w:rStyle w:val="Fotnotsreferens"/>
          <w:rFonts w:ascii="Cambria" w:hAnsi="Cambria" w:cs="Cambria"/>
          <w:bCs/>
          <w:color w:val="00000A"/>
          <w:sz w:val="22"/>
          <w:szCs w:val="22"/>
        </w:rPr>
        <w:footnoteReference w:id="14"/>
      </w:r>
    </w:p>
    <w:p w:rsidR="004D786D" w:rsidRDefault="006A4EA8" w:rsidP="007F511E">
      <w:pPr>
        <w:pStyle w:val="Liststycke"/>
        <w:numPr>
          <w:ilvl w:val="0"/>
          <w:numId w:val="3"/>
        </w:numPr>
        <w:spacing w:line="360" w:lineRule="auto"/>
        <w:jc w:val="both"/>
        <w:rPr>
          <w:rFonts w:ascii="Cambria" w:hAnsi="Cambria" w:cs="Cambria"/>
          <w:bCs/>
          <w:color w:val="00000A"/>
          <w:sz w:val="22"/>
          <w:szCs w:val="22"/>
        </w:rPr>
      </w:pPr>
      <w:r>
        <w:rPr>
          <w:rFonts w:ascii="Cambria" w:hAnsi="Cambria" w:cs="Cambria"/>
          <w:bCs/>
          <w:color w:val="00000A"/>
          <w:sz w:val="22"/>
          <w:szCs w:val="22"/>
        </w:rPr>
        <w:t xml:space="preserve">Apart from the Ukrainian crisis, there are other issues on the US, NATO’s and EU’s agenda, which </w:t>
      </w:r>
      <w:r w:rsidR="007770C4">
        <w:rPr>
          <w:rFonts w:ascii="Cambria" w:hAnsi="Cambria" w:cs="Cambria"/>
          <w:bCs/>
          <w:color w:val="00000A"/>
          <w:sz w:val="22"/>
          <w:szCs w:val="22"/>
        </w:rPr>
        <w:t xml:space="preserve">are more topical and </w:t>
      </w:r>
      <w:r>
        <w:rPr>
          <w:rFonts w:ascii="Cambria" w:hAnsi="Cambria" w:cs="Cambria"/>
          <w:bCs/>
          <w:color w:val="00000A"/>
          <w:sz w:val="22"/>
          <w:szCs w:val="22"/>
        </w:rPr>
        <w:t>require an urgent and efficient re</w:t>
      </w:r>
      <w:r w:rsidR="00A9300D">
        <w:rPr>
          <w:rFonts w:ascii="Cambria" w:hAnsi="Cambria" w:cs="Cambria"/>
          <w:bCs/>
          <w:color w:val="00000A"/>
          <w:sz w:val="22"/>
          <w:szCs w:val="22"/>
        </w:rPr>
        <w:t xml:space="preserve">sponse, for instance, ISIS and </w:t>
      </w:r>
      <w:r w:rsidR="00464943">
        <w:rPr>
          <w:rFonts w:ascii="Cambria" w:hAnsi="Cambria" w:cs="Cambria"/>
          <w:bCs/>
          <w:color w:val="00000A"/>
          <w:sz w:val="22"/>
          <w:szCs w:val="22"/>
        </w:rPr>
        <w:t>Ebola</w:t>
      </w:r>
      <w:r>
        <w:rPr>
          <w:rFonts w:ascii="Cambria" w:hAnsi="Cambria" w:cs="Cambria"/>
          <w:bCs/>
          <w:color w:val="00000A"/>
          <w:sz w:val="22"/>
          <w:szCs w:val="22"/>
        </w:rPr>
        <w:t>.</w:t>
      </w:r>
      <w:r w:rsidR="00A9300D">
        <w:rPr>
          <w:rStyle w:val="Fotnotsreferens"/>
          <w:rFonts w:ascii="Cambria" w:hAnsi="Cambria" w:cs="Cambria"/>
          <w:bCs/>
          <w:color w:val="00000A"/>
          <w:sz w:val="22"/>
          <w:szCs w:val="22"/>
        </w:rPr>
        <w:footnoteReference w:id="15"/>
      </w:r>
    </w:p>
    <w:p w:rsidR="002D47C4" w:rsidRDefault="002D47C4">
      <w:pPr>
        <w:jc w:val="both"/>
        <w:rPr>
          <w:rFonts w:ascii="Cambria" w:hAnsi="Cambria" w:cs="Cambria"/>
          <w:sz w:val="22"/>
          <w:szCs w:val="22"/>
        </w:rPr>
      </w:pPr>
    </w:p>
    <w:p w:rsidR="009D0F39" w:rsidRDefault="002D47C4" w:rsidP="002D47C4">
      <w:pPr>
        <w:ind w:left="567"/>
        <w:jc w:val="both"/>
        <w:rPr>
          <w:rFonts w:ascii="Cambria" w:hAnsi="Cambria" w:cs="Cambria"/>
          <w:b/>
          <w:sz w:val="22"/>
          <w:szCs w:val="22"/>
        </w:rPr>
      </w:pPr>
      <w:r>
        <w:rPr>
          <w:rFonts w:ascii="Cambria" w:hAnsi="Cambria" w:cs="Cambria"/>
          <w:sz w:val="22"/>
          <w:szCs w:val="22"/>
        </w:rPr>
        <w:t xml:space="preserve">    </w:t>
      </w:r>
      <w:r w:rsidR="006F6DA2">
        <w:rPr>
          <w:rFonts w:ascii="Cambria" w:hAnsi="Cambria" w:cs="Cambria"/>
          <w:b/>
          <w:sz w:val="22"/>
          <w:szCs w:val="22"/>
        </w:rPr>
        <w:t>III. Russia:</w:t>
      </w:r>
      <w:r>
        <w:rPr>
          <w:rFonts w:ascii="Cambria" w:hAnsi="Cambria" w:cs="Cambria"/>
          <w:b/>
          <w:sz w:val="22"/>
          <w:szCs w:val="22"/>
        </w:rPr>
        <w:t xml:space="preserve"> </w:t>
      </w:r>
      <w:r w:rsidR="007770C4">
        <w:rPr>
          <w:rFonts w:ascii="Cambria" w:hAnsi="Cambria" w:cs="Cambria"/>
          <w:b/>
          <w:sz w:val="22"/>
          <w:szCs w:val="22"/>
        </w:rPr>
        <w:t>‘A Besieged Fortress’</w:t>
      </w:r>
    </w:p>
    <w:p w:rsidR="008E0FF2" w:rsidRDefault="008E0FF2" w:rsidP="002D47C4">
      <w:pPr>
        <w:ind w:left="567"/>
        <w:jc w:val="both"/>
        <w:rPr>
          <w:rFonts w:ascii="Cambria" w:hAnsi="Cambria" w:cs="Cambria"/>
          <w:b/>
          <w:sz w:val="22"/>
          <w:szCs w:val="22"/>
        </w:rPr>
      </w:pPr>
    </w:p>
    <w:p w:rsidR="006F6DA2" w:rsidRDefault="00A9300D" w:rsidP="007770C4">
      <w:pPr>
        <w:spacing w:line="360" w:lineRule="auto"/>
        <w:ind w:left="142"/>
        <w:jc w:val="both"/>
        <w:rPr>
          <w:rFonts w:ascii="Cambria" w:hAnsi="Cambria" w:cs="Cambria"/>
          <w:sz w:val="22"/>
          <w:szCs w:val="22"/>
        </w:rPr>
      </w:pPr>
      <w:r>
        <w:rPr>
          <w:rFonts w:ascii="Cambria" w:hAnsi="Cambria" w:cs="Cambria"/>
          <w:sz w:val="22"/>
          <w:szCs w:val="22"/>
        </w:rPr>
        <w:t>According to Mearsheimer,</w:t>
      </w:r>
      <w:r w:rsidR="00B536E5">
        <w:rPr>
          <w:rFonts w:ascii="Cambria" w:hAnsi="Cambria" w:cs="Cambria"/>
          <w:sz w:val="22"/>
          <w:szCs w:val="22"/>
        </w:rPr>
        <w:t xml:space="preserve"> as opposed to</w:t>
      </w:r>
      <w:r w:rsidR="006F6DA2">
        <w:rPr>
          <w:rFonts w:ascii="Cambria" w:hAnsi="Cambria" w:cs="Cambria"/>
          <w:sz w:val="22"/>
          <w:szCs w:val="22"/>
        </w:rPr>
        <w:t xml:space="preserve"> West’s liberalism,</w:t>
      </w:r>
      <w:r>
        <w:rPr>
          <w:rFonts w:ascii="Cambria" w:hAnsi="Cambria" w:cs="Cambria"/>
          <w:sz w:val="22"/>
          <w:szCs w:val="22"/>
        </w:rPr>
        <w:t xml:space="preserve"> Russia’s predominant geopolitical concept after the end of the Cold War was realism</w:t>
      </w:r>
      <w:r w:rsidR="007770C4">
        <w:rPr>
          <w:rFonts w:ascii="Cambria" w:hAnsi="Cambria" w:cs="Cambria"/>
          <w:sz w:val="22"/>
          <w:szCs w:val="22"/>
        </w:rPr>
        <w:t>.</w:t>
      </w:r>
      <w:r w:rsidR="007770C4">
        <w:rPr>
          <w:rStyle w:val="Fotnotsreferens"/>
          <w:rFonts w:ascii="Cambria" w:hAnsi="Cambria" w:cs="Cambria"/>
          <w:sz w:val="22"/>
          <w:szCs w:val="22"/>
        </w:rPr>
        <w:footnoteReference w:id="16"/>
      </w:r>
      <w:r w:rsidR="008E0FF2">
        <w:rPr>
          <w:rFonts w:ascii="Cambria" w:hAnsi="Cambria" w:cs="Cambria"/>
          <w:sz w:val="22"/>
          <w:szCs w:val="22"/>
        </w:rPr>
        <w:t xml:space="preserve"> </w:t>
      </w:r>
      <w:r w:rsidR="007770C4">
        <w:rPr>
          <w:rFonts w:ascii="Cambria" w:hAnsi="Cambria" w:cs="Cambria"/>
          <w:sz w:val="22"/>
          <w:szCs w:val="22"/>
        </w:rPr>
        <w:t xml:space="preserve">Under Putin’s presidency, </w:t>
      </w:r>
      <w:r>
        <w:rPr>
          <w:rFonts w:ascii="Cambria" w:hAnsi="Cambria" w:cs="Cambria"/>
          <w:sz w:val="22"/>
          <w:szCs w:val="22"/>
        </w:rPr>
        <w:t>the realist tendencies can be seen in</w:t>
      </w:r>
      <w:r w:rsidR="007770C4">
        <w:rPr>
          <w:rFonts w:ascii="Cambria" w:hAnsi="Cambria" w:cs="Cambria"/>
          <w:sz w:val="22"/>
          <w:szCs w:val="22"/>
        </w:rPr>
        <w:t xml:space="preserve"> the following pillars</w:t>
      </w:r>
      <w:r w:rsidR="00CF2D7A">
        <w:rPr>
          <w:rFonts w:ascii="Cambria" w:hAnsi="Cambria" w:cs="Cambria"/>
          <w:sz w:val="22"/>
          <w:szCs w:val="22"/>
        </w:rPr>
        <w:t>:</w:t>
      </w:r>
      <w:r w:rsidR="007770C4">
        <w:rPr>
          <w:rFonts w:ascii="Cambria" w:hAnsi="Cambria" w:cs="Cambria"/>
          <w:sz w:val="22"/>
          <w:szCs w:val="22"/>
        </w:rPr>
        <w:t xml:space="preserve"> </w:t>
      </w:r>
    </w:p>
    <w:p w:rsidR="006F6DA2" w:rsidRPr="006F6DA2" w:rsidRDefault="007770C4" w:rsidP="006F6DA2">
      <w:pPr>
        <w:pStyle w:val="Liststycke"/>
        <w:numPr>
          <w:ilvl w:val="0"/>
          <w:numId w:val="8"/>
        </w:numPr>
        <w:spacing w:line="360" w:lineRule="auto"/>
        <w:jc w:val="both"/>
        <w:rPr>
          <w:rFonts w:ascii="Cambria" w:hAnsi="Cambria" w:cs="Cambria"/>
          <w:sz w:val="22"/>
          <w:szCs w:val="22"/>
        </w:rPr>
      </w:pPr>
      <w:r w:rsidRPr="006F6DA2">
        <w:rPr>
          <w:rFonts w:ascii="Cambria" w:hAnsi="Cambria" w:cs="Cambria"/>
          <w:sz w:val="22"/>
          <w:szCs w:val="22"/>
        </w:rPr>
        <w:t>NATO’s expansion</w:t>
      </w:r>
      <w:r w:rsidR="00CF2D7A" w:rsidRPr="006F6DA2">
        <w:rPr>
          <w:rFonts w:ascii="Cambria" w:hAnsi="Cambria" w:cs="Cambria"/>
          <w:sz w:val="22"/>
          <w:szCs w:val="22"/>
        </w:rPr>
        <w:t xml:space="preserve"> imposes a threat near the borders of Russia</w:t>
      </w:r>
      <w:r w:rsidR="00BE7CBE" w:rsidRPr="006F6DA2">
        <w:rPr>
          <w:rFonts w:ascii="Cambria" w:hAnsi="Cambria" w:cs="Cambria"/>
          <w:sz w:val="22"/>
          <w:szCs w:val="22"/>
          <w:lang w:val="uk-UA"/>
        </w:rPr>
        <w:t>;</w:t>
      </w:r>
      <w:r w:rsidRPr="006F6DA2">
        <w:rPr>
          <w:rFonts w:ascii="Cambria" w:hAnsi="Cambria" w:cs="Cambria"/>
          <w:sz w:val="22"/>
          <w:szCs w:val="22"/>
        </w:rPr>
        <w:t xml:space="preserve"> </w:t>
      </w:r>
    </w:p>
    <w:p w:rsidR="006F6DA2" w:rsidRPr="006F6DA2" w:rsidRDefault="00CF2D7A" w:rsidP="006F6DA2">
      <w:pPr>
        <w:pStyle w:val="Liststycke"/>
        <w:numPr>
          <w:ilvl w:val="0"/>
          <w:numId w:val="8"/>
        </w:numPr>
        <w:spacing w:line="360" w:lineRule="auto"/>
        <w:jc w:val="both"/>
        <w:rPr>
          <w:rFonts w:ascii="Cambria" w:hAnsi="Cambria" w:cs="Cambria"/>
          <w:sz w:val="22"/>
          <w:szCs w:val="22"/>
        </w:rPr>
      </w:pPr>
      <w:r w:rsidRPr="006F6DA2">
        <w:rPr>
          <w:rFonts w:ascii="Cambria" w:hAnsi="Cambria" w:cs="Cambria"/>
          <w:sz w:val="22"/>
          <w:szCs w:val="22"/>
        </w:rPr>
        <w:t xml:space="preserve">Ukraine </w:t>
      </w:r>
      <w:r w:rsidR="007770C4" w:rsidRPr="006F6DA2">
        <w:rPr>
          <w:rFonts w:ascii="Cambria" w:hAnsi="Cambria" w:cs="Cambria"/>
          <w:sz w:val="22"/>
          <w:szCs w:val="22"/>
        </w:rPr>
        <w:t xml:space="preserve">is perceived </w:t>
      </w:r>
      <w:r w:rsidRPr="006F6DA2">
        <w:rPr>
          <w:rFonts w:ascii="Cambria" w:hAnsi="Cambria" w:cs="Cambria"/>
          <w:sz w:val="22"/>
          <w:szCs w:val="22"/>
        </w:rPr>
        <w:t xml:space="preserve">as a buffer state of </w:t>
      </w:r>
      <w:r w:rsidRPr="006F6DA2">
        <w:rPr>
          <w:rFonts w:ascii="Cambria" w:hAnsi="Cambria" w:cs="Cambria"/>
          <w:sz w:val="22"/>
          <w:szCs w:val="22"/>
        </w:rPr>
        <w:lastRenderedPageBreak/>
        <w:t>enormous strategic importance</w:t>
      </w:r>
      <w:r w:rsidR="00BE7CBE" w:rsidRPr="006F6DA2">
        <w:rPr>
          <w:rFonts w:ascii="Cambria" w:hAnsi="Cambria" w:cs="Cambria"/>
          <w:sz w:val="22"/>
          <w:szCs w:val="22"/>
        </w:rPr>
        <w:t>;</w:t>
      </w:r>
      <w:r w:rsidR="007770C4" w:rsidRPr="006F6DA2">
        <w:rPr>
          <w:rFonts w:ascii="Cambria" w:hAnsi="Cambria" w:cs="Cambria"/>
          <w:sz w:val="22"/>
          <w:szCs w:val="22"/>
        </w:rPr>
        <w:t xml:space="preserve"> </w:t>
      </w:r>
    </w:p>
    <w:p w:rsidR="006F6DA2" w:rsidRPr="006F6DA2" w:rsidRDefault="00EF7680" w:rsidP="006F6DA2">
      <w:pPr>
        <w:pStyle w:val="Liststycke"/>
        <w:numPr>
          <w:ilvl w:val="0"/>
          <w:numId w:val="8"/>
        </w:numPr>
        <w:spacing w:line="360" w:lineRule="auto"/>
        <w:jc w:val="both"/>
        <w:rPr>
          <w:rFonts w:ascii="Cambria" w:hAnsi="Cambria" w:cs="Cambria"/>
          <w:sz w:val="22"/>
          <w:szCs w:val="22"/>
        </w:rPr>
      </w:pPr>
      <w:r w:rsidRPr="006F6DA2">
        <w:rPr>
          <w:rFonts w:ascii="Cambria" w:hAnsi="Cambria" w:cs="Cambria"/>
          <w:sz w:val="22"/>
          <w:szCs w:val="22"/>
        </w:rPr>
        <w:t>Ukraine’s NATO and EU accessions are unacceptable.</w:t>
      </w:r>
      <w:r w:rsidR="007770C4">
        <w:rPr>
          <w:rStyle w:val="Fotnotsreferens"/>
          <w:rFonts w:ascii="Cambria" w:hAnsi="Cambria" w:cs="Cambria"/>
          <w:sz w:val="22"/>
          <w:szCs w:val="22"/>
        </w:rPr>
        <w:footnoteReference w:id="17"/>
      </w:r>
      <w:r w:rsidR="007770C4" w:rsidRPr="006F6DA2">
        <w:rPr>
          <w:rFonts w:ascii="Cambria" w:hAnsi="Cambria" w:cs="Cambria"/>
          <w:sz w:val="22"/>
          <w:szCs w:val="22"/>
        </w:rPr>
        <w:t xml:space="preserve"> </w:t>
      </w:r>
    </w:p>
    <w:p w:rsidR="006F6DA2" w:rsidRDefault="006F6DA2" w:rsidP="007770C4">
      <w:pPr>
        <w:spacing w:line="360" w:lineRule="auto"/>
        <w:ind w:left="142"/>
        <w:jc w:val="both"/>
        <w:rPr>
          <w:rFonts w:ascii="Cambria" w:hAnsi="Cambria" w:cs="Cambria"/>
          <w:sz w:val="22"/>
          <w:szCs w:val="22"/>
        </w:rPr>
      </w:pPr>
    </w:p>
    <w:p w:rsidR="00EF7680" w:rsidRPr="003D19C0" w:rsidRDefault="003D19C0" w:rsidP="003D19C0">
      <w:pPr>
        <w:spacing w:line="360" w:lineRule="auto"/>
        <w:ind w:left="142"/>
        <w:jc w:val="both"/>
        <w:rPr>
          <w:rFonts w:ascii="Cambria" w:hAnsi="Cambria" w:cs="Cambria"/>
          <w:sz w:val="22"/>
          <w:szCs w:val="22"/>
        </w:rPr>
      </w:pPr>
      <w:r>
        <w:rPr>
          <w:rFonts w:ascii="Cambria" w:hAnsi="Cambria" w:cs="Cambria"/>
          <w:sz w:val="22"/>
          <w:szCs w:val="22"/>
        </w:rPr>
        <w:t>Seen i</w:t>
      </w:r>
      <w:r w:rsidR="007770C4">
        <w:rPr>
          <w:rFonts w:ascii="Cambria" w:hAnsi="Cambria" w:cs="Cambria"/>
          <w:sz w:val="22"/>
          <w:szCs w:val="22"/>
        </w:rPr>
        <w:t xml:space="preserve">n such a way, </w:t>
      </w:r>
      <w:r w:rsidR="00EF7680" w:rsidRPr="007770C4">
        <w:rPr>
          <w:rFonts w:ascii="Cambria" w:hAnsi="Cambria" w:cs="Cambria"/>
          <w:sz w:val="22"/>
          <w:szCs w:val="22"/>
        </w:rPr>
        <w:t>Russia</w:t>
      </w:r>
      <w:r w:rsidR="007770C4">
        <w:rPr>
          <w:rFonts w:ascii="Cambria" w:hAnsi="Cambria" w:cs="Cambria"/>
          <w:sz w:val="22"/>
          <w:szCs w:val="22"/>
        </w:rPr>
        <w:t>’s geopolitical a</w:t>
      </w:r>
      <w:r>
        <w:rPr>
          <w:rFonts w:ascii="Cambria" w:hAnsi="Cambria" w:cs="Cambria"/>
          <w:sz w:val="22"/>
          <w:szCs w:val="22"/>
        </w:rPr>
        <w:t>nd security visions contradicts</w:t>
      </w:r>
      <w:r w:rsidR="007770C4">
        <w:rPr>
          <w:rFonts w:ascii="Cambria" w:hAnsi="Cambria" w:cs="Cambria"/>
          <w:sz w:val="22"/>
          <w:szCs w:val="22"/>
        </w:rPr>
        <w:t xml:space="preserve"> the principles and policies of NATO, the EU and US in Central and Eastern Europe. At the same time, the actions of Western political actors provided the grounds for Russia’s reacting strategy of a ‘besieged </w:t>
      </w:r>
      <w:r>
        <w:rPr>
          <w:rFonts w:ascii="Cambria" w:hAnsi="Cambria" w:cs="Cambria"/>
          <w:sz w:val="22"/>
          <w:szCs w:val="22"/>
        </w:rPr>
        <w:t>fortress’, which is based on a principle of ‘action-reaction’</w:t>
      </w:r>
      <w:r w:rsidR="007770C4">
        <w:rPr>
          <w:rFonts w:ascii="Cambria" w:hAnsi="Cambria" w:cs="Cambria"/>
          <w:sz w:val="22"/>
          <w:szCs w:val="22"/>
        </w:rPr>
        <w:t>.</w:t>
      </w:r>
      <w:r w:rsidR="007770C4">
        <w:rPr>
          <w:rStyle w:val="Fotnotsreferens"/>
          <w:rFonts w:ascii="Cambria" w:hAnsi="Cambria" w:cs="Cambria"/>
          <w:sz w:val="22"/>
          <w:szCs w:val="22"/>
        </w:rPr>
        <w:footnoteReference w:id="18"/>
      </w:r>
      <w:r>
        <w:rPr>
          <w:rFonts w:ascii="Cambria" w:hAnsi="Cambria" w:cs="Cambria"/>
          <w:sz w:val="22"/>
          <w:szCs w:val="22"/>
        </w:rPr>
        <w:t xml:space="preserve"> </w:t>
      </w:r>
      <w:r w:rsidR="007770C4" w:rsidRPr="003D19C0">
        <w:rPr>
          <w:rFonts w:ascii="Cambria" w:hAnsi="Cambria" w:cs="Cambria"/>
          <w:sz w:val="22"/>
          <w:szCs w:val="22"/>
        </w:rPr>
        <w:t xml:space="preserve">Apart from this, </w:t>
      </w:r>
      <w:r w:rsidR="00EF7680" w:rsidRPr="003D19C0">
        <w:rPr>
          <w:rFonts w:ascii="Cambria" w:hAnsi="Cambria" w:cs="Cambria"/>
          <w:sz w:val="22"/>
          <w:szCs w:val="22"/>
        </w:rPr>
        <w:t xml:space="preserve">Russia’s geopolitical strategy </w:t>
      </w:r>
      <w:r w:rsidR="007770C4" w:rsidRPr="003D19C0">
        <w:rPr>
          <w:rFonts w:ascii="Cambria" w:hAnsi="Cambria" w:cs="Cambria"/>
          <w:sz w:val="22"/>
          <w:szCs w:val="22"/>
        </w:rPr>
        <w:t>comprises the concept of Eurasian</w:t>
      </w:r>
      <w:r w:rsidR="00EF7680" w:rsidRPr="003D19C0">
        <w:rPr>
          <w:rFonts w:ascii="Cambria" w:hAnsi="Cambria" w:cs="Cambria"/>
          <w:sz w:val="22"/>
          <w:szCs w:val="22"/>
        </w:rPr>
        <w:t xml:space="preserve"> integratio</w:t>
      </w:r>
      <w:r w:rsidR="007770C4" w:rsidRPr="003D19C0">
        <w:rPr>
          <w:rFonts w:ascii="Cambria" w:hAnsi="Cambria" w:cs="Cambria"/>
          <w:sz w:val="22"/>
          <w:szCs w:val="22"/>
        </w:rPr>
        <w:t>n, designed to prove Russia’s self-</w:t>
      </w:r>
      <w:r>
        <w:rPr>
          <w:rFonts w:ascii="Cambria" w:hAnsi="Cambria" w:cs="Cambria"/>
          <w:sz w:val="22"/>
          <w:szCs w:val="22"/>
        </w:rPr>
        <w:t>sufficiency on the global arena</w:t>
      </w:r>
      <w:r w:rsidR="007770C4" w:rsidRPr="003D19C0">
        <w:rPr>
          <w:rFonts w:ascii="Cambria" w:hAnsi="Cambria" w:cs="Cambria"/>
          <w:sz w:val="22"/>
          <w:szCs w:val="22"/>
        </w:rPr>
        <w:t xml:space="preserve"> as opposed to the perception of Russia as ‘a lagging behind periphery’.</w:t>
      </w:r>
      <w:r w:rsidR="007770C4">
        <w:rPr>
          <w:rStyle w:val="Fotnotsreferens"/>
          <w:rFonts w:ascii="Cambria" w:hAnsi="Cambria" w:cs="Cambria"/>
          <w:sz w:val="22"/>
          <w:szCs w:val="22"/>
        </w:rPr>
        <w:footnoteReference w:id="19"/>
      </w:r>
      <w:r w:rsidR="007770C4" w:rsidRPr="003D19C0">
        <w:rPr>
          <w:rFonts w:ascii="Cambria" w:hAnsi="Cambria" w:cs="Cambria"/>
          <w:sz w:val="22"/>
          <w:szCs w:val="22"/>
        </w:rPr>
        <w:t xml:space="preserve"> This project </w:t>
      </w:r>
      <w:r w:rsidR="00A9300D" w:rsidRPr="003D19C0">
        <w:rPr>
          <w:rFonts w:ascii="Cambria" w:hAnsi="Cambria" w:cs="Cambria"/>
          <w:sz w:val="22"/>
          <w:szCs w:val="22"/>
        </w:rPr>
        <w:t xml:space="preserve">principally </w:t>
      </w:r>
      <w:r w:rsidR="007770C4" w:rsidRPr="003D19C0">
        <w:rPr>
          <w:rFonts w:ascii="Cambria" w:hAnsi="Cambria" w:cs="Cambria"/>
          <w:sz w:val="22"/>
          <w:szCs w:val="22"/>
        </w:rPr>
        <w:t xml:space="preserve">entails creating </w:t>
      </w:r>
      <w:r w:rsidR="00A9300D" w:rsidRPr="003D19C0">
        <w:rPr>
          <w:rFonts w:ascii="Cambria" w:hAnsi="Cambria" w:cs="Cambria"/>
          <w:sz w:val="22"/>
          <w:szCs w:val="22"/>
        </w:rPr>
        <w:t xml:space="preserve">a </w:t>
      </w:r>
      <w:r w:rsidR="007770C4" w:rsidRPr="003D19C0">
        <w:rPr>
          <w:rFonts w:ascii="Cambria" w:hAnsi="Cambria" w:cs="Cambria"/>
          <w:sz w:val="22"/>
          <w:szCs w:val="22"/>
        </w:rPr>
        <w:t>common Eura</w:t>
      </w:r>
      <w:r w:rsidR="00A9300D" w:rsidRPr="003D19C0">
        <w:rPr>
          <w:rFonts w:ascii="Cambria" w:hAnsi="Cambria" w:cs="Cambria"/>
          <w:sz w:val="22"/>
          <w:szCs w:val="22"/>
        </w:rPr>
        <w:t>sian customs and economic union. H</w:t>
      </w:r>
      <w:r w:rsidR="007770C4" w:rsidRPr="003D19C0">
        <w:rPr>
          <w:rFonts w:ascii="Cambria" w:hAnsi="Cambria" w:cs="Cambria"/>
          <w:sz w:val="22"/>
          <w:szCs w:val="22"/>
        </w:rPr>
        <w:t>owever, at the moment</w:t>
      </w:r>
      <w:r w:rsidR="000231E5" w:rsidRPr="003D19C0">
        <w:rPr>
          <w:rFonts w:ascii="Cambria" w:hAnsi="Cambria" w:cs="Cambria"/>
          <w:sz w:val="22"/>
          <w:szCs w:val="22"/>
        </w:rPr>
        <w:t xml:space="preserve"> it</w:t>
      </w:r>
      <w:r w:rsidR="007770C4" w:rsidRPr="003D19C0">
        <w:rPr>
          <w:rFonts w:ascii="Cambria" w:hAnsi="Cambria" w:cs="Cambria"/>
          <w:sz w:val="22"/>
          <w:szCs w:val="22"/>
        </w:rPr>
        <w:t xml:space="preserve"> is mainly supported by three states: </w:t>
      </w:r>
      <w:r w:rsidRPr="003D19C0">
        <w:rPr>
          <w:rFonts w:ascii="Cambria" w:hAnsi="Cambria" w:cs="Cambria"/>
          <w:sz w:val="22"/>
          <w:szCs w:val="22"/>
        </w:rPr>
        <w:t>Russia, Belarus and Kazakhstan.</w:t>
      </w:r>
    </w:p>
    <w:p w:rsidR="003D19C0" w:rsidRDefault="003D19C0" w:rsidP="00EF7680">
      <w:pPr>
        <w:pStyle w:val="Liststycke"/>
        <w:spacing w:line="360" w:lineRule="auto"/>
        <w:ind w:left="142"/>
        <w:jc w:val="both"/>
        <w:rPr>
          <w:rFonts w:ascii="Cambria" w:hAnsi="Cambria" w:cs="Cambria"/>
          <w:sz w:val="22"/>
          <w:szCs w:val="22"/>
        </w:rPr>
      </w:pPr>
    </w:p>
    <w:p w:rsidR="00995872" w:rsidRPr="00A01487" w:rsidRDefault="003D19C0" w:rsidP="00A01487">
      <w:pPr>
        <w:pStyle w:val="Liststycke"/>
        <w:spacing w:line="360" w:lineRule="auto"/>
        <w:ind w:left="142"/>
        <w:jc w:val="both"/>
        <w:rPr>
          <w:rFonts w:ascii="Cambria" w:hAnsi="Cambria" w:cs="Cambria"/>
          <w:sz w:val="22"/>
          <w:szCs w:val="22"/>
        </w:rPr>
      </w:pPr>
      <w:r>
        <w:rPr>
          <w:rFonts w:ascii="Cambria" w:hAnsi="Cambria" w:cs="Cambria"/>
          <w:sz w:val="22"/>
          <w:szCs w:val="22"/>
        </w:rPr>
        <w:t>T</w:t>
      </w:r>
      <w:r w:rsidR="00A9300D">
        <w:rPr>
          <w:rFonts w:ascii="Cambria" w:hAnsi="Cambria" w:cs="Cambria"/>
          <w:sz w:val="22"/>
          <w:szCs w:val="22"/>
        </w:rPr>
        <w:t>he Ukrainian crisis</w:t>
      </w:r>
      <w:r w:rsidR="00995872">
        <w:rPr>
          <w:rFonts w:ascii="Cambria" w:hAnsi="Cambria" w:cs="Cambria"/>
          <w:sz w:val="22"/>
          <w:szCs w:val="22"/>
        </w:rPr>
        <w:t xml:space="preserve"> was a challenge that stimulated the Russian state to make critical decisions.</w:t>
      </w:r>
      <w:r w:rsidR="00995872">
        <w:rPr>
          <w:rStyle w:val="Fotnotsreferens"/>
          <w:rFonts w:ascii="Cambria" w:hAnsi="Cambria" w:cs="Cambria"/>
          <w:sz w:val="22"/>
          <w:szCs w:val="22"/>
        </w:rPr>
        <w:footnoteReference w:id="20"/>
      </w:r>
      <w:r w:rsidR="00995872">
        <w:rPr>
          <w:rFonts w:ascii="Cambria" w:hAnsi="Cambria" w:cs="Cambria"/>
          <w:sz w:val="22"/>
          <w:szCs w:val="22"/>
        </w:rPr>
        <w:t xml:space="preserve"> Russia’s approach to crisis-management has </w:t>
      </w:r>
      <w:r w:rsidR="00A47181">
        <w:rPr>
          <w:rFonts w:ascii="Cambria" w:hAnsi="Cambria" w:cs="Cambria"/>
          <w:sz w:val="22"/>
          <w:szCs w:val="22"/>
        </w:rPr>
        <w:t>highlighted</w:t>
      </w:r>
      <w:r>
        <w:rPr>
          <w:rFonts w:ascii="Cambria" w:hAnsi="Cambria" w:cs="Cambria"/>
          <w:sz w:val="22"/>
          <w:szCs w:val="22"/>
        </w:rPr>
        <w:t xml:space="preserve"> both</w:t>
      </w:r>
      <w:r w:rsidR="00995872">
        <w:rPr>
          <w:rFonts w:ascii="Cambria" w:hAnsi="Cambria" w:cs="Cambria"/>
          <w:sz w:val="22"/>
          <w:szCs w:val="22"/>
        </w:rPr>
        <w:t xml:space="preserve"> </w:t>
      </w:r>
      <w:r w:rsidR="000231E5">
        <w:rPr>
          <w:rFonts w:ascii="Cambria" w:hAnsi="Cambria" w:cs="Cambria"/>
          <w:sz w:val="22"/>
          <w:szCs w:val="22"/>
        </w:rPr>
        <w:t>its</w:t>
      </w:r>
      <w:r w:rsidR="00995872">
        <w:rPr>
          <w:rFonts w:ascii="Cambria" w:hAnsi="Cambria" w:cs="Cambria"/>
          <w:sz w:val="22"/>
          <w:szCs w:val="22"/>
        </w:rPr>
        <w:t xml:space="preserve"> strengths and weaknesses. </w:t>
      </w:r>
      <w:r w:rsidR="00995872" w:rsidRPr="00A01487">
        <w:rPr>
          <w:rFonts w:ascii="Cambria" w:hAnsi="Cambria" w:cs="Cambria"/>
          <w:sz w:val="22"/>
          <w:szCs w:val="22"/>
        </w:rPr>
        <w:t>On the one hand, Russia p</w:t>
      </w:r>
      <w:r w:rsidR="00AE1863" w:rsidRPr="00A01487">
        <w:rPr>
          <w:rFonts w:ascii="Cambria" w:hAnsi="Cambria" w:cs="Cambria"/>
          <w:sz w:val="22"/>
          <w:szCs w:val="22"/>
        </w:rPr>
        <w:t xml:space="preserve">roved </w:t>
      </w:r>
      <w:r w:rsidR="00995872" w:rsidRPr="00A01487">
        <w:rPr>
          <w:rFonts w:ascii="Cambria" w:hAnsi="Cambria" w:cs="Cambria"/>
          <w:sz w:val="22"/>
          <w:szCs w:val="22"/>
        </w:rPr>
        <w:t xml:space="preserve">its </w:t>
      </w:r>
      <w:r w:rsidR="00AE1863" w:rsidRPr="00A01487">
        <w:rPr>
          <w:rFonts w:ascii="Cambria" w:hAnsi="Cambria" w:cs="Cambria"/>
          <w:sz w:val="22"/>
          <w:szCs w:val="22"/>
        </w:rPr>
        <w:t xml:space="preserve">ability to apply military force in innovative ways, which are not accessible </w:t>
      </w:r>
      <w:r w:rsidRPr="00A01487">
        <w:rPr>
          <w:rFonts w:ascii="Cambria" w:hAnsi="Cambria" w:cs="Cambria"/>
          <w:sz w:val="22"/>
          <w:szCs w:val="22"/>
        </w:rPr>
        <w:t>to</w:t>
      </w:r>
      <w:r w:rsidR="00AE1863" w:rsidRPr="00A01487">
        <w:rPr>
          <w:rFonts w:ascii="Cambria" w:hAnsi="Cambria" w:cs="Cambria"/>
          <w:sz w:val="22"/>
          <w:szCs w:val="22"/>
        </w:rPr>
        <w:t xml:space="preserve"> </w:t>
      </w:r>
      <w:r w:rsidR="00995872" w:rsidRPr="00A01487">
        <w:rPr>
          <w:rFonts w:ascii="Cambria" w:hAnsi="Cambria" w:cs="Cambria"/>
          <w:sz w:val="22"/>
          <w:szCs w:val="22"/>
        </w:rPr>
        <w:t xml:space="preserve">its </w:t>
      </w:r>
      <w:r w:rsidR="00995872" w:rsidRPr="00A01487">
        <w:rPr>
          <w:rFonts w:ascii="Cambria" w:hAnsi="Cambria" w:cs="Cambria"/>
          <w:sz w:val="22"/>
          <w:szCs w:val="22"/>
        </w:rPr>
        <w:lastRenderedPageBreak/>
        <w:t>neighbours.</w:t>
      </w:r>
      <w:r w:rsidR="00995872">
        <w:rPr>
          <w:rStyle w:val="Fotnotsreferens"/>
          <w:rFonts w:ascii="Cambria" w:hAnsi="Cambria" w:cs="Cambria"/>
          <w:sz w:val="22"/>
          <w:szCs w:val="22"/>
        </w:rPr>
        <w:footnoteReference w:id="21"/>
      </w:r>
      <w:r w:rsidR="00995872" w:rsidRPr="00A01487">
        <w:rPr>
          <w:rFonts w:ascii="Cambria" w:hAnsi="Cambria" w:cs="Cambria"/>
          <w:sz w:val="22"/>
          <w:szCs w:val="22"/>
        </w:rPr>
        <w:t xml:space="preserve"> Moreover, Russia has demonstrated its influence over Crimea and the Eastern Ukrainian regions by manipulating </w:t>
      </w:r>
      <w:r w:rsidR="00A01487">
        <w:rPr>
          <w:rFonts w:ascii="Cambria" w:hAnsi="Cambria" w:cs="Cambria"/>
          <w:sz w:val="22"/>
          <w:szCs w:val="22"/>
        </w:rPr>
        <w:t>existing</w:t>
      </w:r>
      <w:r w:rsidR="000231E5" w:rsidRPr="00A01487">
        <w:rPr>
          <w:rFonts w:ascii="Cambria" w:hAnsi="Cambria" w:cs="Cambria"/>
          <w:sz w:val="22"/>
          <w:szCs w:val="22"/>
        </w:rPr>
        <w:t xml:space="preserve"> </w:t>
      </w:r>
      <w:r w:rsidR="00995872" w:rsidRPr="00A01487">
        <w:rPr>
          <w:rFonts w:ascii="Cambria" w:hAnsi="Cambria" w:cs="Cambria"/>
          <w:sz w:val="22"/>
          <w:szCs w:val="22"/>
        </w:rPr>
        <w:t>issues, which heated up the conflict and deepened the Ukrainian crisis.</w:t>
      </w:r>
      <w:r w:rsidR="00995872">
        <w:rPr>
          <w:rStyle w:val="Fotnotsreferens"/>
          <w:rFonts w:ascii="Cambria" w:hAnsi="Cambria" w:cs="Cambria"/>
          <w:sz w:val="22"/>
          <w:szCs w:val="22"/>
        </w:rPr>
        <w:footnoteReference w:id="22"/>
      </w:r>
      <w:r w:rsidR="00995872" w:rsidRPr="00A01487">
        <w:rPr>
          <w:rFonts w:ascii="Cambria" w:hAnsi="Cambria" w:cs="Cambria"/>
          <w:sz w:val="22"/>
          <w:szCs w:val="22"/>
        </w:rPr>
        <w:t xml:space="preserve"> Additionally, Russia showed a</w:t>
      </w:r>
      <w:r w:rsidR="00AE1863" w:rsidRPr="00A01487">
        <w:rPr>
          <w:rFonts w:ascii="Cambria" w:hAnsi="Cambria" w:cs="Cambria"/>
          <w:sz w:val="22"/>
          <w:szCs w:val="22"/>
        </w:rPr>
        <w:t xml:space="preserve"> political will for </w:t>
      </w:r>
      <w:r w:rsidR="00995872" w:rsidRPr="00A01487">
        <w:rPr>
          <w:rFonts w:ascii="Cambria" w:hAnsi="Cambria" w:cs="Cambria"/>
          <w:sz w:val="22"/>
          <w:szCs w:val="22"/>
        </w:rPr>
        <w:t>risky experiment and d</w:t>
      </w:r>
      <w:r w:rsidR="00AE1863" w:rsidRPr="00A01487">
        <w:rPr>
          <w:rFonts w:ascii="Cambria" w:hAnsi="Cambria" w:cs="Cambria"/>
          <w:sz w:val="22"/>
          <w:szCs w:val="22"/>
        </w:rPr>
        <w:t>ecisive count</w:t>
      </w:r>
      <w:r w:rsidR="00995872" w:rsidRPr="00A01487">
        <w:rPr>
          <w:rFonts w:ascii="Cambria" w:hAnsi="Cambria" w:cs="Cambria"/>
          <w:sz w:val="22"/>
          <w:szCs w:val="22"/>
        </w:rPr>
        <w:t>eraction to the West’s pressure.</w:t>
      </w:r>
      <w:r w:rsidR="00995872">
        <w:rPr>
          <w:rStyle w:val="Fotnotsreferens"/>
          <w:rFonts w:ascii="Cambria" w:hAnsi="Cambria" w:cs="Cambria"/>
          <w:sz w:val="22"/>
          <w:szCs w:val="22"/>
        </w:rPr>
        <w:footnoteReference w:id="23"/>
      </w:r>
      <w:r w:rsidR="00995872" w:rsidRPr="00A01487">
        <w:rPr>
          <w:rFonts w:ascii="Cambria" w:hAnsi="Cambria" w:cs="Cambria"/>
          <w:sz w:val="22"/>
          <w:szCs w:val="22"/>
        </w:rPr>
        <w:t xml:space="preserve"> </w:t>
      </w:r>
    </w:p>
    <w:p w:rsidR="003D19C0" w:rsidRDefault="003D19C0" w:rsidP="00995872">
      <w:pPr>
        <w:pStyle w:val="Liststycke"/>
        <w:spacing w:line="360" w:lineRule="auto"/>
        <w:ind w:left="142"/>
        <w:jc w:val="both"/>
        <w:rPr>
          <w:rFonts w:ascii="Cambria" w:hAnsi="Cambria" w:cs="Cambria"/>
          <w:sz w:val="22"/>
          <w:szCs w:val="22"/>
        </w:rPr>
      </w:pPr>
    </w:p>
    <w:p w:rsidR="00995872" w:rsidRDefault="00995872" w:rsidP="00995872">
      <w:pPr>
        <w:pStyle w:val="Liststycke"/>
        <w:spacing w:line="360" w:lineRule="auto"/>
        <w:ind w:left="142"/>
        <w:jc w:val="both"/>
        <w:rPr>
          <w:rFonts w:ascii="Cambria" w:hAnsi="Cambria" w:cs="Cambria"/>
          <w:sz w:val="22"/>
          <w:szCs w:val="22"/>
        </w:rPr>
      </w:pPr>
      <w:r>
        <w:rPr>
          <w:rFonts w:ascii="Cambria" w:hAnsi="Cambria" w:cs="Cambria"/>
          <w:sz w:val="22"/>
          <w:szCs w:val="22"/>
        </w:rPr>
        <w:t>On the other hand, Russia’s international reputation has been significantly damaged by its recognised violation of Ukraine’s national sovereignty.</w:t>
      </w:r>
      <w:r>
        <w:rPr>
          <w:rStyle w:val="Fotnotsreferens"/>
          <w:rFonts w:ascii="Cambria" w:hAnsi="Cambria" w:cs="Cambria"/>
          <w:sz w:val="22"/>
          <w:szCs w:val="22"/>
        </w:rPr>
        <w:footnoteReference w:id="24"/>
      </w:r>
      <w:r>
        <w:rPr>
          <w:rFonts w:ascii="Cambria" w:hAnsi="Cambria" w:cs="Cambria"/>
          <w:sz w:val="22"/>
          <w:szCs w:val="22"/>
        </w:rPr>
        <w:t xml:space="preserve"> Apart from this, Russia has faced several rounds of economic sanctions imposed by the EU and the US. Finally, NATO members responded to the challenge of the Ukrainian crisis by the increasing consolidation, mobilisation and </w:t>
      </w:r>
      <w:r w:rsidR="000231E5">
        <w:rPr>
          <w:rFonts w:ascii="Cambria" w:hAnsi="Cambria" w:cs="Cambria"/>
          <w:sz w:val="22"/>
          <w:szCs w:val="22"/>
        </w:rPr>
        <w:t>reconceptualising of</w:t>
      </w:r>
      <w:r>
        <w:rPr>
          <w:rFonts w:ascii="Cambria" w:hAnsi="Cambria" w:cs="Cambria"/>
          <w:sz w:val="22"/>
          <w:szCs w:val="22"/>
        </w:rPr>
        <w:t xml:space="preserve"> the </w:t>
      </w:r>
      <w:r w:rsidR="000231E5">
        <w:rPr>
          <w:rFonts w:ascii="Cambria" w:hAnsi="Cambria" w:cs="Cambria"/>
          <w:sz w:val="22"/>
          <w:szCs w:val="22"/>
        </w:rPr>
        <w:t xml:space="preserve">Euro-Atlantic security </w:t>
      </w:r>
      <w:r>
        <w:rPr>
          <w:rFonts w:ascii="Cambria" w:hAnsi="Cambria" w:cs="Cambria"/>
          <w:sz w:val="22"/>
          <w:szCs w:val="22"/>
        </w:rPr>
        <w:t>principles.</w:t>
      </w:r>
      <w:r>
        <w:rPr>
          <w:rStyle w:val="Fotnotsreferens"/>
          <w:rFonts w:ascii="Cambria" w:hAnsi="Cambria" w:cs="Cambria"/>
          <w:sz w:val="22"/>
          <w:szCs w:val="22"/>
        </w:rPr>
        <w:footnoteReference w:id="25"/>
      </w:r>
    </w:p>
    <w:p w:rsidR="00D8549C" w:rsidRDefault="00D8549C" w:rsidP="00995872">
      <w:pPr>
        <w:pStyle w:val="Liststycke"/>
        <w:spacing w:line="360" w:lineRule="auto"/>
        <w:ind w:left="142"/>
        <w:jc w:val="both"/>
        <w:rPr>
          <w:rFonts w:ascii="Cambria" w:hAnsi="Cambria" w:cs="Cambria"/>
          <w:sz w:val="22"/>
          <w:szCs w:val="22"/>
        </w:rPr>
      </w:pPr>
    </w:p>
    <w:p w:rsidR="00BC46C5" w:rsidRDefault="004D140D" w:rsidP="00BC46C5">
      <w:pPr>
        <w:pStyle w:val="Liststycke"/>
        <w:spacing w:line="360" w:lineRule="auto"/>
        <w:ind w:left="426"/>
        <w:jc w:val="both"/>
        <w:rPr>
          <w:rFonts w:ascii="Cambria" w:hAnsi="Cambria" w:cs="Cambria"/>
          <w:b/>
          <w:sz w:val="22"/>
          <w:szCs w:val="22"/>
        </w:rPr>
      </w:pPr>
      <w:r>
        <w:rPr>
          <w:rFonts w:ascii="Cambria" w:hAnsi="Cambria" w:cs="Cambria"/>
          <w:b/>
          <w:sz w:val="22"/>
          <w:szCs w:val="22"/>
        </w:rPr>
        <w:t>IV. Ukrainian</w:t>
      </w:r>
      <w:r w:rsidR="00BC46C5">
        <w:rPr>
          <w:rFonts w:ascii="Cambria" w:hAnsi="Cambria" w:cs="Cambria"/>
          <w:b/>
          <w:sz w:val="22"/>
          <w:szCs w:val="22"/>
        </w:rPr>
        <w:t xml:space="preserve"> </w:t>
      </w:r>
      <w:r w:rsidR="000231E5">
        <w:rPr>
          <w:rFonts w:ascii="Cambria" w:hAnsi="Cambria" w:cs="Cambria"/>
          <w:b/>
          <w:sz w:val="22"/>
          <w:szCs w:val="22"/>
        </w:rPr>
        <w:t xml:space="preserve">Politics: The Power of External </w:t>
      </w:r>
      <w:r w:rsidR="00A47181">
        <w:rPr>
          <w:rFonts w:ascii="Cambria" w:hAnsi="Cambria" w:cs="Cambria"/>
          <w:b/>
          <w:sz w:val="22"/>
          <w:szCs w:val="22"/>
        </w:rPr>
        <w:t>Involvement</w:t>
      </w:r>
    </w:p>
    <w:p w:rsidR="00A01487" w:rsidRDefault="0053785E" w:rsidP="007E438E">
      <w:pPr>
        <w:pStyle w:val="Liststycke"/>
        <w:spacing w:line="360" w:lineRule="auto"/>
        <w:ind w:left="142"/>
        <w:jc w:val="both"/>
        <w:rPr>
          <w:rFonts w:ascii="Cambria" w:hAnsi="Cambria" w:cs="Cambria"/>
          <w:sz w:val="22"/>
          <w:szCs w:val="22"/>
        </w:rPr>
      </w:pPr>
      <w:r>
        <w:rPr>
          <w:rFonts w:ascii="Cambria" w:hAnsi="Cambria" w:cs="Cambria"/>
          <w:sz w:val="22"/>
          <w:szCs w:val="22"/>
        </w:rPr>
        <w:t>A</w:t>
      </w:r>
      <w:r w:rsidR="00280FBA">
        <w:rPr>
          <w:rFonts w:ascii="Cambria" w:hAnsi="Cambria" w:cs="Cambria"/>
          <w:sz w:val="22"/>
          <w:szCs w:val="22"/>
        </w:rPr>
        <w:t xml:space="preserve">s a result of the Ukrainian-Russian conflict, the settlement of </w:t>
      </w:r>
      <w:r w:rsidR="00624C29">
        <w:rPr>
          <w:rFonts w:ascii="Cambria" w:hAnsi="Cambria" w:cs="Cambria"/>
          <w:sz w:val="22"/>
          <w:szCs w:val="22"/>
        </w:rPr>
        <w:t>governance in Donetsk and Luhansk regions</w:t>
      </w:r>
      <w:r w:rsidR="00280FBA">
        <w:rPr>
          <w:rFonts w:ascii="Cambria" w:hAnsi="Cambria" w:cs="Cambria"/>
          <w:sz w:val="22"/>
          <w:szCs w:val="22"/>
        </w:rPr>
        <w:t xml:space="preserve"> has been subject to several rounds of </w:t>
      </w:r>
      <w:r w:rsidR="0069015D">
        <w:rPr>
          <w:rFonts w:ascii="Cambria" w:hAnsi="Cambria" w:cs="Cambria"/>
          <w:sz w:val="22"/>
          <w:szCs w:val="22"/>
        </w:rPr>
        <w:t xml:space="preserve">Minsk </w:t>
      </w:r>
      <w:r w:rsidR="00280FBA">
        <w:rPr>
          <w:rFonts w:ascii="Cambria" w:hAnsi="Cambria" w:cs="Cambria"/>
          <w:sz w:val="22"/>
          <w:szCs w:val="22"/>
        </w:rPr>
        <w:t xml:space="preserve">negotiations between Ukraine, Russia, OSCE and the </w:t>
      </w:r>
      <w:r w:rsidR="001225FF">
        <w:rPr>
          <w:rFonts w:ascii="Cambria" w:hAnsi="Cambria" w:cs="Cambria"/>
          <w:sz w:val="22"/>
          <w:szCs w:val="22"/>
        </w:rPr>
        <w:t xml:space="preserve">Eastern republics. </w:t>
      </w:r>
      <w:r w:rsidR="00464943">
        <w:rPr>
          <w:rFonts w:ascii="Cambria" w:hAnsi="Cambria" w:cs="Cambria"/>
          <w:sz w:val="22"/>
          <w:szCs w:val="22"/>
        </w:rPr>
        <w:t xml:space="preserve">Paradoxically, the negotiations are officially referred to as ‘tripartite’, implying that they are </w:t>
      </w:r>
      <w:r w:rsidR="00464943">
        <w:rPr>
          <w:rFonts w:ascii="Cambria" w:hAnsi="Cambria" w:cs="Cambria"/>
          <w:sz w:val="22"/>
          <w:szCs w:val="22"/>
        </w:rPr>
        <w:lastRenderedPageBreak/>
        <w:t>held between Ukraine, Russia and OSCE.</w:t>
      </w:r>
      <w:r w:rsidR="00464943">
        <w:rPr>
          <w:rStyle w:val="Fotnotsreferens"/>
          <w:rFonts w:ascii="Cambria" w:hAnsi="Cambria" w:cs="Cambria"/>
          <w:sz w:val="22"/>
          <w:szCs w:val="22"/>
        </w:rPr>
        <w:footnoteReference w:id="26"/>
      </w:r>
      <w:r w:rsidR="00464943">
        <w:rPr>
          <w:rFonts w:ascii="Cambria" w:hAnsi="Cambria" w:cs="Cambria"/>
          <w:sz w:val="22"/>
          <w:szCs w:val="22"/>
        </w:rPr>
        <w:t xml:space="preserve">  </w:t>
      </w:r>
      <w:r w:rsidR="0069015D">
        <w:rPr>
          <w:rFonts w:ascii="Cambria" w:hAnsi="Cambria" w:cs="Cambria"/>
          <w:sz w:val="22"/>
          <w:szCs w:val="22"/>
        </w:rPr>
        <w:t>I</w:t>
      </w:r>
      <w:r w:rsidR="00280FBA">
        <w:rPr>
          <w:rFonts w:ascii="Cambria" w:hAnsi="Cambria" w:cs="Cambria"/>
          <w:sz w:val="22"/>
          <w:szCs w:val="22"/>
        </w:rPr>
        <w:t xml:space="preserve">n practice, the representatives of </w:t>
      </w:r>
      <w:r w:rsidR="001225FF">
        <w:rPr>
          <w:rFonts w:ascii="Cambria" w:hAnsi="Cambria" w:cs="Cambria"/>
          <w:sz w:val="22"/>
          <w:szCs w:val="22"/>
        </w:rPr>
        <w:t>Donetska People’s Republic (DNR) and Luhanska People’s Republic (LNR)</w:t>
      </w:r>
      <w:r w:rsidR="00624C29">
        <w:rPr>
          <w:rFonts w:ascii="Cambria" w:hAnsi="Cambria" w:cs="Cambria"/>
          <w:sz w:val="22"/>
          <w:szCs w:val="22"/>
        </w:rPr>
        <w:t xml:space="preserve"> </w:t>
      </w:r>
      <w:r w:rsidR="001225FF">
        <w:rPr>
          <w:rFonts w:ascii="Cambria" w:hAnsi="Cambria" w:cs="Cambria"/>
          <w:sz w:val="22"/>
          <w:szCs w:val="22"/>
        </w:rPr>
        <w:t>are a single side of negotiations with a</w:t>
      </w:r>
      <w:r w:rsidR="00280FBA">
        <w:rPr>
          <w:rFonts w:ascii="Cambria" w:hAnsi="Cambria" w:cs="Cambria"/>
          <w:sz w:val="22"/>
          <w:szCs w:val="22"/>
        </w:rPr>
        <w:t xml:space="preserve"> declared stance, which is taken into consideration </w:t>
      </w:r>
      <w:r w:rsidR="00A01487">
        <w:rPr>
          <w:rFonts w:ascii="Cambria" w:hAnsi="Cambria" w:cs="Cambria"/>
          <w:sz w:val="22"/>
          <w:szCs w:val="22"/>
        </w:rPr>
        <w:t>in the negotiation process</w:t>
      </w:r>
      <w:r w:rsidR="00280FBA">
        <w:rPr>
          <w:rFonts w:ascii="Cambria" w:hAnsi="Cambria" w:cs="Cambria"/>
          <w:sz w:val="22"/>
          <w:szCs w:val="22"/>
        </w:rPr>
        <w:t xml:space="preserve">. </w:t>
      </w:r>
      <w:r w:rsidR="0069015D">
        <w:rPr>
          <w:rFonts w:ascii="Cambria" w:hAnsi="Cambria" w:cs="Cambria"/>
          <w:sz w:val="22"/>
          <w:szCs w:val="22"/>
        </w:rPr>
        <w:t xml:space="preserve">This can be seen as a necessary precondition for </w:t>
      </w:r>
      <w:r w:rsidR="000231E5">
        <w:rPr>
          <w:rFonts w:ascii="Cambria" w:hAnsi="Cambria" w:cs="Cambria"/>
          <w:sz w:val="22"/>
          <w:szCs w:val="22"/>
        </w:rPr>
        <w:t xml:space="preserve">a peaceful conflict resolution and </w:t>
      </w:r>
      <w:r w:rsidR="0069015D">
        <w:rPr>
          <w:rFonts w:ascii="Cambria" w:hAnsi="Cambria" w:cs="Cambria"/>
          <w:sz w:val="22"/>
          <w:szCs w:val="22"/>
        </w:rPr>
        <w:t>ceasing fire in</w:t>
      </w:r>
      <w:r w:rsidR="00A47181">
        <w:rPr>
          <w:rFonts w:ascii="Cambria" w:hAnsi="Cambria" w:cs="Cambria"/>
          <w:sz w:val="22"/>
          <w:szCs w:val="22"/>
        </w:rPr>
        <w:t xml:space="preserve"> the Eastern regions of Ukraine. H</w:t>
      </w:r>
      <w:r w:rsidR="0069015D">
        <w:rPr>
          <w:rFonts w:ascii="Cambria" w:hAnsi="Cambria" w:cs="Cambria"/>
          <w:sz w:val="22"/>
          <w:szCs w:val="22"/>
        </w:rPr>
        <w:t xml:space="preserve">owever, </w:t>
      </w:r>
      <w:r w:rsidR="00A47181">
        <w:rPr>
          <w:rFonts w:ascii="Cambria" w:hAnsi="Cambria" w:cs="Cambria"/>
          <w:sz w:val="22"/>
          <w:szCs w:val="22"/>
        </w:rPr>
        <w:t xml:space="preserve">as </w:t>
      </w:r>
      <w:r w:rsidR="0069015D">
        <w:rPr>
          <w:rFonts w:ascii="Cambria" w:hAnsi="Cambria" w:cs="Cambria"/>
          <w:sz w:val="22"/>
          <w:szCs w:val="22"/>
        </w:rPr>
        <w:t xml:space="preserve">the military actions are </w:t>
      </w:r>
      <w:r w:rsidR="000231E5">
        <w:rPr>
          <w:rFonts w:ascii="Cambria" w:hAnsi="Cambria" w:cs="Cambria"/>
          <w:sz w:val="22"/>
          <w:szCs w:val="22"/>
        </w:rPr>
        <w:t xml:space="preserve">still </w:t>
      </w:r>
      <w:r w:rsidR="00A47181">
        <w:rPr>
          <w:rFonts w:ascii="Cambria" w:hAnsi="Cambria" w:cs="Cambria"/>
          <w:sz w:val="22"/>
          <w:szCs w:val="22"/>
        </w:rPr>
        <w:t>ongoing,</w:t>
      </w:r>
      <w:r w:rsidR="0069015D">
        <w:rPr>
          <w:rFonts w:ascii="Cambria" w:hAnsi="Cambria" w:cs="Cambria"/>
          <w:sz w:val="22"/>
          <w:szCs w:val="22"/>
        </w:rPr>
        <w:t xml:space="preserve"> the negotiations have not been efficient.</w:t>
      </w:r>
      <w:r w:rsidR="007E438E" w:rsidRPr="007E438E">
        <w:rPr>
          <w:rFonts w:ascii="Cambria" w:hAnsi="Cambria" w:cs="Cambria"/>
          <w:sz w:val="22"/>
          <w:szCs w:val="22"/>
        </w:rPr>
        <w:t xml:space="preserve"> </w:t>
      </w:r>
    </w:p>
    <w:p w:rsidR="00A01487" w:rsidRDefault="00A01487" w:rsidP="007E438E">
      <w:pPr>
        <w:pStyle w:val="Liststycke"/>
        <w:spacing w:line="360" w:lineRule="auto"/>
        <w:ind w:left="142"/>
        <w:jc w:val="both"/>
        <w:rPr>
          <w:rFonts w:ascii="Cambria" w:hAnsi="Cambria" w:cs="Cambria"/>
          <w:sz w:val="22"/>
          <w:szCs w:val="22"/>
        </w:rPr>
      </w:pPr>
    </w:p>
    <w:p w:rsidR="007E438E" w:rsidRPr="00A01487" w:rsidRDefault="007E438E" w:rsidP="00A01487">
      <w:pPr>
        <w:pStyle w:val="Liststycke"/>
        <w:spacing w:line="360" w:lineRule="auto"/>
        <w:ind w:left="142"/>
        <w:jc w:val="both"/>
        <w:rPr>
          <w:rFonts w:ascii="Cambria" w:hAnsi="Cambria" w:cs="Cambria"/>
          <w:sz w:val="22"/>
          <w:szCs w:val="22"/>
        </w:rPr>
      </w:pPr>
      <w:r>
        <w:rPr>
          <w:rFonts w:ascii="Cambria" w:hAnsi="Cambria" w:cs="Cambria"/>
          <w:sz w:val="22"/>
          <w:szCs w:val="22"/>
        </w:rPr>
        <w:t xml:space="preserve">It is </w:t>
      </w:r>
      <w:r w:rsidR="001225FF">
        <w:rPr>
          <w:rFonts w:ascii="Cambria" w:hAnsi="Cambria" w:cs="Cambria"/>
          <w:sz w:val="22"/>
          <w:szCs w:val="22"/>
        </w:rPr>
        <w:t>note</w:t>
      </w:r>
      <w:r>
        <w:rPr>
          <w:rFonts w:ascii="Cambria" w:hAnsi="Cambria" w:cs="Cambria"/>
          <w:sz w:val="22"/>
          <w:szCs w:val="22"/>
        </w:rPr>
        <w:t xml:space="preserve">worthy that Ukraine’s territorial integrity and the change of state borders have not been subject to negotiations. </w:t>
      </w:r>
      <w:r w:rsidR="00A01487">
        <w:rPr>
          <w:rFonts w:ascii="Cambria" w:hAnsi="Cambria" w:cs="Cambria"/>
          <w:sz w:val="22"/>
          <w:szCs w:val="22"/>
        </w:rPr>
        <w:t>On 16 September</w:t>
      </w:r>
      <w:r w:rsidRPr="00A01487">
        <w:rPr>
          <w:rFonts w:ascii="Cambria" w:hAnsi="Cambria" w:cs="Cambria"/>
          <w:sz w:val="22"/>
          <w:szCs w:val="22"/>
        </w:rPr>
        <w:t xml:space="preserve">, the </w:t>
      </w:r>
      <w:r w:rsidR="00A01487">
        <w:rPr>
          <w:rFonts w:ascii="Cambria" w:hAnsi="Cambria" w:cs="Cambria"/>
          <w:sz w:val="22"/>
          <w:szCs w:val="22"/>
        </w:rPr>
        <w:t>Ukrainian parliament adopted a</w:t>
      </w:r>
      <w:r w:rsidRPr="00A01487">
        <w:rPr>
          <w:rFonts w:ascii="Cambria" w:hAnsi="Cambria" w:cs="Cambria"/>
          <w:sz w:val="22"/>
          <w:szCs w:val="22"/>
        </w:rPr>
        <w:t xml:space="preserve"> law on establishing a special status of self-governance in Donetsk and Luhansk regions, which provides enhanced powers to the local self-government and envisages a special economic regime aimed at social and economic recovery of the regions.</w:t>
      </w:r>
      <w:r>
        <w:rPr>
          <w:rStyle w:val="Fotnotsreferens"/>
          <w:rFonts w:ascii="Cambria" w:hAnsi="Cambria" w:cs="Cambria"/>
          <w:sz w:val="22"/>
          <w:szCs w:val="22"/>
        </w:rPr>
        <w:footnoteReference w:id="27"/>
      </w:r>
      <w:r w:rsidR="00DD4F97" w:rsidRPr="00A01487">
        <w:rPr>
          <w:rFonts w:ascii="Cambria" w:hAnsi="Cambria" w:cs="Cambria"/>
          <w:sz w:val="22"/>
          <w:szCs w:val="22"/>
        </w:rPr>
        <w:t xml:space="preserve"> However, any scenario that involves</w:t>
      </w:r>
      <w:r w:rsidRPr="00A01487">
        <w:rPr>
          <w:rFonts w:ascii="Cambria" w:hAnsi="Cambria" w:cs="Cambria"/>
          <w:sz w:val="22"/>
          <w:szCs w:val="22"/>
        </w:rPr>
        <w:t xml:space="preserve"> remaining part of Ukraine </w:t>
      </w:r>
      <w:r w:rsidR="00DD4F97" w:rsidRPr="00A01487">
        <w:rPr>
          <w:rFonts w:ascii="Cambria" w:hAnsi="Cambria" w:cs="Cambria"/>
          <w:sz w:val="22"/>
          <w:szCs w:val="22"/>
        </w:rPr>
        <w:t xml:space="preserve">will </w:t>
      </w:r>
      <w:r w:rsidRPr="00A01487">
        <w:rPr>
          <w:rFonts w:ascii="Cambria" w:hAnsi="Cambria" w:cs="Cambria"/>
          <w:sz w:val="22"/>
          <w:szCs w:val="22"/>
        </w:rPr>
        <w:t>hardly</w:t>
      </w:r>
      <w:r w:rsidR="00DD4F97" w:rsidRPr="00A01487">
        <w:rPr>
          <w:rFonts w:ascii="Cambria" w:hAnsi="Cambria" w:cs="Cambria"/>
          <w:sz w:val="22"/>
          <w:szCs w:val="22"/>
        </w:rPr>
        <w:t xml:space="preserve"> be</w:t>
      </w:r>
      <w:r w:rsidRPr="00A01487">
        <w:rPr>
          <w:rFonts w:ascii="Cambria" w:hAnsi="Cambria" w:cs="Cambria"/>
          <w:sz w:val="22"/>
          <w:szCs w:val="22"/>
        </w:rPr>
        <w:t xml:space="preserve"> accepted by </w:t>
      </w:r>
      <w:r w:rsidR="00DD4F97" w:rsidRPr="00A01487">
        <w:rPr>
          <w:rFonts w:ascii="Cambria" w:hAnsi="Cambria" w:cs="Cambria"/>
          <w:sz w:val="22"/>
          <w:szCs w:val="22"/>
        </w:rPr>
        <w:t>DNR and LNR.</w:t>
      </w:r>
      <w:r w:rsidRPr="00A01487">
        <w:rPr>
          <w:rFonts w:ascii="Cambria" w:hAnsi="Cambria" w:cs="Cambria"/>
          <w:sz w:val="22"/>
          <w:szCs w:val="22"/>
        </w:rPr>
        <w:t xml:space="preserve"> </w:t>
      </w:r>
    </w:p>
    <w:p w:rsidR="00DD4F97" w:rsidRDefault="00DD4F97" w:rsidP="00BC46C5">
      <w:pPr>
        <w:pStyle w:val="Liststycke"/>
        <w:spacing w:line="360" w:lineRule="auto"/>
        <w:ind w:left="142"/>
        <w:jc w:val="both"/>
        <w:rPr>
          <w:rFonts w:ascii="Cambria" w:hAnsi="Cambria" w:cs="Cambria"/>
          <w:sz w:val="22"/>
          <w:szCs w:val="22"/>
        </w:rPr>
      </w:pPr>
    </w:p>
    <w:p w:rsidR="00624C29" w:rsidRPr="00DD4F97" w:rsidRDefault="0053785E" w:rsidP="00DD4F97">
      <w:pPr>
        <w:pStyle w:val="Liststycke"/>
        <w:spacing w:line="360" w:lineRule="auto"/>
        <w:ind w:left="142"/>
        <w:jc w:val="both"/>
        <w:rPr>
          <w:rFonts w:ascii="Cambria" w:hAnsi="Cambria" w:cs="Cambria"/>
          <w:sz w:val="22"/>
          <w:szCs w:val="22"/>
        </w:rPr>
      </w:pPr>
      <w:r>
        <w:rPr>
          <w:rFonts w:ascii="Cambria" w:hAnsi="Cambria" w:cs="Cambria"/>
          <w:sz w:val="22"/>
          <w:szCs w:val="22"/>
        </w:rPr>
        <w:t>Due to the ongoing military conflict, the turnout of voters for the national parli</w:t>
      </w:r>
      <w:r w:rsidR="00DD4F97">
        <w:rPr>
          <w:rFonts w:ascii="Cambria" w:hAnsi="Cambria" w:cs="Cambria"/>
          <w:sz w:val="22"/>
          <w:szCs w:val="22"/>
        </w:rPr>
        <w:t>amentary elections on 26 October</w:t>
      </w:r>
      <w:r>
        <w:rPr>
          <w:rFonts w:ascii="Cambria" w:hAnsi="Cambria" w:cs="Cambria"/>
          <w:sz w:val="22"/>
          <w:szCs w:val="22"/>
        </w:rPr>
        <w:t xml:space="preserve"> was </w:t>
      </w:r>
      <w:r w:rsidR="00DD4F97">
        <w:rPr>
          <w:rFonts w:ascii="Cambria" w:hAnsi="Cambria" w:cs="Cambria"/>
          <w:sz w:val="22"/>
          <w:szCs w:val="22"/>
        </w:rPr>
        <w:t xml:space="preserve">only </w:t>
      </w:r>
      <w:r>
        <w:rPr>
          <w:rFonts w:ascii="Cambria" w:hAnsi="Cambria" w:cs="Cambria"/>
          <w:sz w:val="22"/>
          <w:szCs w:val="22"/>
        </w:rPr>
        <w:t>slightly higher than 30%</w:t>
      </w:r>
      <w:r w:rsidR="00DD4F97" w:rsidRPr="00DD4F97">
        <w:rPr>
          <w:rFonts w:ascii="Cambria" w:hAnsi="Cambria" w:cs="Cambria"/>
          <w:sz w:val="22"/>
          <w:szCs w:val="22"/>
        </w:rPr>
        <w:t xml:space="preserve"> </w:t>
      </w:r>
      <w:r w:rsidR="00DD4F97">
        <w:rPr>
          <w:rFonts w:ascii="Cambria" w:hAnsi="Cambria" w:cs="Cambria"/>
          <w:sz w:val="22"/>
          <w:szCs w:val="22"/>
        </w:rPr>
        <w:t>in Donetsk and Luhansk regions</w:t>
      </w:r>
      <w:r w:rsidR="000231E5">
        <w:rPr>
          <w:rFonts w:ascii="Cambria" w:hAnsi="Cambria" w:cs="Cambria"/>
          <w:sz w:val="22"/>
          <w:szCs w:val="22"/>
        </w:rPr>
        <w:t xml:space="preserve">. </w:t>
      </w:r>
      <w:r w:rsidR="00DD4F97">
        <w:rPr>
          <w:rFonts w:ascii="Cambria" w:hAnsi="Cambria" w:cs="Cambria"/>
          <w:sz w:val="22"/>
          <w:szCs w:val="22"/>
        </w:rPr>
        <w:t>The</w:t>
      </w:r>
      <w:r w:rsidR="00624C29">
        <w:rPr>
          <w:rFonts w:ascii="Cambria" w:hAnsi="Cambria" w:cs="Cambria"/>
          <w:sz w:val="22"/>
          <w:szCs w:val="22"/>
        </w:rPr>
        <w:t xml:space="preserve"> two regions will</w:t>
      </w:r>
      <w:r w:rsidR="00DD4F97">
        <w:rPr>
          <w:rFonts w:ascii="Cambria" w:hAnsi="Cambria" w:cs="Cambria"/>
          <w:sz w:val="22"/>
          <w:szCs w:val="22"/>
        </w:rPr>
        <w:t xml:space="preserve"> furthermore</w:t>
      </w:r>
      <w:r w:rsidR="00624C29">
        <w:rPr>
          <w:rFonts w:ascii="Cambria" w:hAnsi="Cambria" w:cs="Cambria"/>
          <w:sz w:val="22"/>
          <w:szCs w:val="22"/>
        </w:rPr>
        <w:t xml:space="preserve"> be underrepresented in the Ukrainian parliament </w:t>
      </w:r>
      <w:r w:rsidR="00464943">
        <w:rPr>
          <w:rFonts w:ascii="Cambria" w:hAnsi="Cambria" w:cs="Cambria"/>
          <w:sz w:val="22"/>
          <w:szCs w:val="22"/>
        </w:rPr>
        <w:lastRenderedPageBreak/>
        <w:t>by 15 majoritarian MPs.</w:t>
      </w:r>
      <w:r w:rsidR="00624C29">
        <w:rPr>
          <w:rStyle w:val="Fotnotsreferens"/>
          <w:rFonts w:ascii="Cambria" w:hAnsi="Cambria" w:cs="Cambria"/>
          <w:sz w:val="22"/>
          <w:szCs w:val="22"/>
        </w:rPr>
        <w:footnoteReference w:id="28"/>
      </w:r>
      <w:r w:rsidR="00624C29">
        <w:rPr>
          <w:rFonts w:ascii="Cambria" w:hAnsi="Cambria" w:cs="Cambria"/>
          <w:sz w:val="22"/>
          <w:szCs w:val="22"/>
        </w:rPr>
        <w:t xml:space="preserve">  At the same time, on </w:t>
      </w:r>
      <w:r w:rsidR="00DD4F97">
        <w:rPr>
          <w:rFonts w:ascii="Cambria" w:hAnsi="Cambria" w:cs="Cambria"/>
          <w:sz w:val="22"/>
          <w:szCs w:val="22"/>
        </w:rPr>
        <w:t xml:space="preserve">2 November </w:t>
      </w:r>
      <w:r w:rsidR="00624C29">
        <w:rPr>
          <w:rFonts w:ascii="Cambria" w:hAnsi="Cambria" w:cs="Cambria"/>
          <w:sz w:val="22"/>
          <w:szCs w:val="22"/>
        </w:rPr>
        <w:t>the two self-proclaimed republics conducted elections of th</w:t>
      </w:r>
      <w:r w:rsidR="00DD4F97">
        <w:rPr>
          <w:rFonts w:ascii="Cambria" w:hAnsi="Cambria" w:cs="Cambria"/>
          <w:sz w:val="22"/>
          <w:szCs w:val="22"/>
        </w:rPr>
        <w:t>e heads and members of the DNR and LNR</w:t>
      </w:r>
      <w:r w:rsidR="00624C29">
        <w:rPr>
          <w:rFonts w:ascii="Cambria" w:hAnsi="Cambria" w:cs="Cambria"/>
          <w:sz w:val="22"/>
          <w:szCs w:val="22"/>
        </w:rPr>
        <w:t xml:space="preserve"> councils. Apart from the Ukrainian government, these elections will not be recognised by the EU, UN and US.</w:t>
      </w:r>
      <w:r w:rsidR="00624C29">
        <w:rPr>
          <w:rStyle w:val="Fotnotsreferens"/>
          <w:rFonts w:ascii="Cambria" w:hAnsi="Cambria" w:cs="Cambria"/>
          <w:sz w:val="22"/>
          <w:szCs w:val="22"/>
        </w:rPr>
        <w:footnoteReference w:id="29"/>
      </w:r>
      <w:r w:rsidR="00624C29">
        <w:rPr>
          <w:rFonts w:ascii="Cambria" w:hAnsi="Cambria" w:cs="Cambria"/>
          <w:sz w:val="22"/>
          <w:szCs w:val="22"/>
        </w:rPr>
        <w:t xml:space="preserve"> Meanwhile, the </w:t>
      </w:r>
      <w:r w:rsidR="00DD4F97">
        <w:rPr>
          <w:rFonts w:ascii="Cambria" w:hAnsi="Cambria" w:cs="Cambria"/>
          <w:sz w:val="22"/>
          <w:szCs w:val="22"/>
        </w:rPr>
        <w:t xml:space="preserve">Russian </w:t>
      </w:r>
      <w:r w:rsidR="00624C29">
        <w:rPr>
          <w:rFonts w:ascii="Cambria" w:hAnsi="Cambria" w:cs="Cambria"/>
          <w:sz w:val="22"/>
          <w:szCs w:val="22"/>
        </w:rPr>
        <w:t>Foreign Affairs Ministry declared “respect for the expression of will by the residents of South-East” and recognised that “in general, the elections in Donetsk and Luhansk regions were held in an organised manner with a high turnout of voters</w:t>
      </w:r>
      <w:r w:rsidR="000231E5">
        <w:rPr>
          <w:rFonts w:ascii="Cambria" w:hAnsi="Cambria" w:cs="Cambria"/>
          <w:sz w:val="22"/>
          <w:szCs w:val="22"/>
        </w:rPr>
        <w:t>”.</w:t>
      </w:r>
      <w:r w:rsidR="00624C29">
        <w:rPr>
          <w:rStyle w:val="Fotnotsreferens"/>
          <w:rFonts w:ascii="Cambria" w:hAnsi="Cambria" w:cs="Cambria"/>
          <w:sz w:val="22"/>
          <w:szCs w:val="22"/>
        </w:rPr>
        <w:footnoteReference w:id="30"/>
      </w:r>
      <w:r w:rsidR="00624C29">
        <w:rPr>
          <w:rFonts w:ascii="Cambria" w:hAnsi="Cambria" w:cs="Cambria"/>
          <w:sz w:val="22"/>
          <w:szCs w:val="22"/>
        </w:rPr>
        <w:t xml:space="preserve"> </w:t>
      </w:r>
      <w:r w:rsidR="00DD4F97">
        <w:rPr>
          <w:rFonts w:ascii="Cambria" w:hAnsi="Cambria" w:cs="Cambria"/>
          <w:sz w:val="22"/>
          <w:szCs w:val="22"/>
        </w:rPr>
        <w:t xml:space="preserve"> </w:t>
      </w:r>
      <w:r w:rsidR="00624C29" w:rsidRPr="00DD4F97">
        <w:rPr>
          <w:rFonts w:ascii="Cambria" w:hAnsi="Cambria" w:cs="Cambria"/>
          <w:sz w:val="22"/>
          <w:szCs w:val="22"/>
        </w:rPr>
        <w:t xml:space="preserve">International recognition of the </w:t>
      </w:r>
      <w:r w:rsidR="00DD4F97">
        <w:rPr>
          <w:rFonts w:ascii="Cambria" w:hAnsi="Cambria" w:cs="Cambria"/>
          <w:sz w:val="22"/>
          <w:szCs w:val="22"/>
        </w:rPr>
        <w:t>regional</w:t>
      </w:r>
      <w:r w:rsidR="00624C29" w:rsidRPr="00DD4F97">
        <w:rPr>
          <w:rFonts w:ascii="Cambria" w:hAnsi="Cambria" w:cs="Cambria"/>
          <w:sz w:val="22"/>
          <w:szCs w:val="22"/>
        </w:rPr>
        <w:t xml:space="preserve"> elections is a legitimising mechanism, which empowers the self-proclaimed republics to prove that they are supported and elected by the people of Donetsk and Luhansk regions. </w:t>
      </w:r>
      <w:r w:rsidR="00450C55" w:rsidRPr="00DD4F97">
        <w:rPr>
          <w:rFonts w:ascii="Cambria" w:hAnsi="Cambria" w:cs="Cambria"/>
          <w:sz w:val="22"/>
          <w:szCs w:val="22"/>
        </w:rPr>
        <w:t>T</w:t>
      </w:r>
      <w:r w:rsidR="00624C29" w:rsidRPr="00DD4F97">
        <w:rPr>
          <w:rFonts w:ascii="Cambria" w:hAnsi="Cambria" w:cs="Cambria"/>
          <w:sz w:val="22"/>
          <w:szCs w:val="22"/>
        </w:rPr>
        <w:t xml:space="preserve">he discrepancy in </w:t>
      </w:r>
      <w:r w:rsidR="00DD4F97">
        <w:rPr>
          <w:rFonts w:ascii="Cambria" w:hAnsi="Cambria" w:cs="Cambria"/>
          <w:sz w:val="22"/>
          <w:szCs w:val="22"/>
        </w:rPr>
        <w:t>assessment and position from the different</w:t>
      </w:r>
      <w:r w:rsidR="00450C55" w:rsidRPr="00DD4F97">
        <w:rPr>
          <w:rFonts w:ascii="Cambria" w:hAnsi="Cambria" w:cs="Cambria"/>
          <w:sz w:val="22"/>
          <w:szCs w:val="22"/>
        </w:rPr>
        <w:t xml:space="preserve"> </w:t>
      </w:r>
      <w:r w:rsidR="00624C29" w:rsidRPr="00DD4F97">
        <w:rPr>
          <w:rFonts w:ascii="Cambria" w:hAnsi="Cambria" w:cs="Cambria"/>
          <w:sz w:val="22"/>
          <w:szCs w:val="22"/>
        </w:rPr>
        <w:t xml:space="preserve">international actors </w:t>
      </w:r>
      <w:r w:rsidR="00DD4F97">
        <w:rPr>
          <w:rFonts w:ascii="Cambria" w:hAnsi="Cambria" w:cs="Cambria"/>
          <w:sz w:val="22"/>
          <w:szCs w:val="22"/>
        </w:rPr>
        <w:t>could thus serve as a</w:t>
      </w:r>
      <w:r w:rsidR="00624C29" w:rsidRPr="00DD4F97">
        <w:rPr>
          <w:rFonts w:ascii="Cambria" w:hAnsi="Cambria" w:cs="Cambria"/>
          <w:sz w:val="22"/>
          <w:szCs w:val="22"/>
        </w:rPr>
        <w:t xml:space="preserve"> destabilising factor for Ukraine. </w:t>
      </w:r>
    </w:p>
    <w:p w:rsidR="00DD4F97" w:rsidRDefault="00DD4F97" w:rsidP="00BC46C5">
      <w:pPr>
        <w:pStyle w:val="Liststycke"/>
        <w:spacing w:line="360" w:lineRule="auto"/>
        <w:ind w:left="142"/>
        <w:jc w:val="both"/>
        <w:rPr>
          <w:rFonts w:ascii="Cambria" w:hAnsi="Cambria" w:cs="Cambria"/>
          <w:sz w:val="22"/>
          <w:szCs w:val="22"/>
        </w:rPr>
      </w:pPr>
    </w:p>
    <w:p w:rsidR="00624C29" w:rsidRDefault="00D8549C" w:rsidP="00BC46C5">
      <w:pPr>
        <w:pStyle w:val="Liststycke"/>
        <w:spacing w:line="360" w:lineRule="auto"/>
        <w:ind w:left="142"/>
        <w:jc w:val="both"/>
        <w:rPr>
          <w:rFonts w:ascii="Cambria" w:hAnsi="Cambria" w:cs="Cambria"/>
          <w:sz w:val="22"/>
          <w:szCs w:val="22"/>
        </w:rPr>
      </w:pPr>
      <w:r>
        <w:rPr>
          <w:rFonts w:ascii="Cambria" w:hAnsi="Cambria" w:cs="Cambria"/>
          <w:sz w:val="22"/>
          <w:szCs w:val="22"/>
        </w:rPr>
        <w:t xml:space="preserve">The influence of the external factor can also be </w:t>
      </w:r>
      <w:r w:rsidR="007E438E">
        <w:rPr>
          <w:rFonts w:ascii="Cambria" w:hAnsi="Cambria" w:cs="Cambria"/>
          <w:sz w:val="22"/>
          <w:szCs w:val="22"/>
        </w:rPr>
        <w:t>seen in</w:t>
      </w:r>
      <w:r>
        <w:rPr>
          <w:rFonts w:ascii="Cambria" w:hAnsi="Cambria" w:cs="Cambria"/>
          <w:sz w:val="22"/>
          <w:szCs w:val="22"/>
        </w:rPr>
        <w:t xml:space="preserve"> the outcome of the recent national parliamentary elections. Firstly, the Ukrainian-Russian conflict </w:t>
      </w:r>
      <w:r w:rsidR="00A01487">
        <w:rPr>
          <w:rFonts w:ascii="Cambria" w:hAnsi="Cambria" w:cs="Cambria"/>
          <w:sz w:val="22"/>
          <w:szCs w:val="22"/>
        </w:rPr>
        <w:t>influenced</w:t>
      </w:r>
      <w:r>
        <w:rPr>
          <w:rFonts w:ascii="Cambria" w:hAnsi="Cambria" w:cs="Cambria"/>
          <w:sz w:val="22"/>
          <w:szCs w:val="22"/>
        </w:rPr>
        <w:t xml:space="preserve"> the electoral campaign</w:t>
      </w:r>
      <w:r w:rsidR="00A01487">
        <w:rPr>
          <w:rFonts w:ascii="Cambria" w:hAnsi="Cambria" w:cs="Cambria"/>
          <w:sz w:val="22"/>
          <w:szCs w:val="22"/>
        </w:rPr>
        <w:t>s as the</w:t>
      </w:r>
      <w:r>
        <w:rPr>
          <w:rFonts w:ascii="Cambria" w:hAnsi="Cambria" w:cs="Cambria"/>
          <w:sz w:val="22"/>
          <w:szCs w:val="22"/>
        </w:rPr>
        <w:t xml:space="preserve"> </w:t>
      </w:r>
      <w:r w:rsidR="00A01487">
        <w:rPr>
          <w:rFonts w:ascii="Cambria" w:hAnsi="Cambria" w:cs="Cambria"/>
          <w:sz w:val="22"/>
          <w:szCs w:val="22"/>
        </w:rPr>
        <w:t>predominant</w:t>
      </w:r>
      <w:r>
        <w:rPr>
          <w:rFonts w:ascii="Cambria" w:hAnsi="Cambria" w:cs="Cambria"/>
          <w:sz w:val="22"/>
          <w:szCs w:val="22"/>
        </w:rPr>
        <w:t xml:space="preserve"> discourse </w:t>
      </w:r>
      <w:r w:rsidR="00A01487">
        <w:rPr>
          <w:rFonts w:ascii="Cambria" w:hAnsi="Cambria" w:cs="Cambria"/>
          <w:sz w:val="22"/>
          <w:szCs w:val="22"/>
        </w:rPr>
        <w:t>centered</w:t>
      </w:r>
      <w:bookmarkStart w:id="0" w:name="_GoBack"/>
      <w:bookmarkEnd w:id="0"/>
      <w:r w:rsidR="00A01487">
        <w:rPr>
          <w:rFonts w:ascii="Cambria" w:hAnsi="Cambria" w:cs="Cambria"/>
          <w:sz w:val="22"/>
          <w:szCs w:val="22"/>
        </w:rPr>
        <w:t xml:space="preserve"> </w:t>
      </w:r>
      <w:r w:rsidR="004A67AE">
        <w:rPr>
          <w:rFonts w:ascii="Cambria" w:hAnsi="Cambria" w:cs="Cambria"/>
          <w:sz w:val="22"/>
          <w:szCs w:val="22"/>
        </w:rPr>
        <w:t>on</w:t>
      </w:r>
      <w:r>
        <w:rPr>
          <w:rFonts w:ascii="Cambria" w:hAnsi="Cambria" w:cs="Cambria"/>
          <w:sz w:val="22"/>
          <w:szCs w:val="22"/>
        </w:rPr>
        <w:t xml:space="preserve"> the </w:t>
      </w:r>
      <w:r w:rsidR="007E438E">
        <w:rPr>
          <w:rFonts w:ascii="Cambria" w:hAnsi="Cambria" w:cs="Cambria"/>
          <w:sz w:val="22"/>
          <w:szCs w:val="22"/>
        </w:rPr>
        <w:t>ideas of</w:t>
      </w:r>
      <w:r>
        <w:rPr>
          <w:rFonts w:ascii="Cambria" w:hAnsi="Cambria" w:cs="Cambria"/>
          <w:sz w:val="22"/>
          <w:szCs w:val="22"/>
        </w:rPr>
        <w:t xml:space="preserve"> Ukraine’s unity, consolidation and European course. Added to the post-Maidan effect, the rhetoric of decisive “European” reforms and “renewal of </w:t>
      </w:r>
      <w:r>
        <w:rPr>
          <w:rFonts w:ascii="Cambria" w:hAnsi="Cambria" w:cs="Cambria"/>
          <w:sz w:val="22"/>
          <w:szCs w:val="22"/>
        </w:rPr>
        <w:lastRenderedPageBreak/>
        <w:t>parli</w:t>
      </w:r>
      <w:r w:rsidR="00DD4F97">
        <w:rPr>
          <w:rFonts w:ascii="Cambria" w:hAnsi="Cambria" w:cs="Cambria"/>
          <w:sz w:val="22"/>
          <w:szCs w:val="22"/>
        </w:rPr>
        <w:t>ament” was rather efficient. Another</w:t>
      </w:r>
      <w:r>
        <w:rPr>
          <w:rFonts w:ascii="Cambria" w:hAnsi="Cambria" w:cs="Cambria"/>
          <w:sz w:val="22"/>
          <w:szCs w:val="22"/>
        </w:rPr>
        <w:t xml:space="preserve"> innovation of this electoral campaign was the inclusion of civic activists, journalists and commanders of voluntary battalions, </w:t>
      </w:r>
      <w:r w:rsidR="00A01487">
        <w:rPr>
          <w:rFonts w:ascii="Cambria" w:hAnsi="Cambria" w:cs="Cambria"/>
          <w:sz w:val="22"/>
          <w:szCs w:val="22"/>
        </w:rPr>
        <w:t xml:space="preserve">formed to </w:t>
      </w:r>
      <w:r>
        <w:rPr>
          <w:rFonts w:ascii="Cambria" w:hAnsi="Cambria" w:cs="Cambria"/>
          <w:sz w:val="22"/>
          <w:szCs w:val="22"/>
        </w:rPr>
        <w:t xml:space="preserve">support the Ukrainian army in the East of Ukraine, into the party lists. Additionally, the labels “pro-European” and “pro-Russian” have acquired a specific meaning: the first one was represented as “pro-Ukrainian” and the second as “anti-Ukrainian”. </w:t>
      </w:r>
    </w:p>
    <w:p w:rsidR="00DD4F97" w:rsidRDefault="00DD4F97" w:rsidP="00BC46C5">
      <w:pPr>
        <w:pStyle w:val="Liststycke"/>
        <w:spacing w:line="360" w:lineRule="auto"/>
        <w:ind w:left="142"/>
        <w:jc w:val="both"/>
        <w:rPr>
          <w:rFonts w:ascii="Cambria" w:hAnsi="Cambria" w:cs="Cambria"/>
          <w:sz w:val="22"/>
          <w:szCs w:val="22"/>
        </w:rPr>
      </w:pPr>
    </w:p>
    <w:p w:rsidR="00D8549C" w:rsidRDefault="00D8549C" w:rsidP="00BC46C5">
      <w:pPr>
        <w:pStyle w:val="Liststycke"/>
        <w:spacing w:line="360" w:lineRule="auto"/>
        <w:ind w:left="142"/>
        <w:jc w:val="both"/>
        <w:rPr>
          <w:rFonts w:ascii="Cambria" w:hAnsi="Cambria" w:cs="Cambria"/>
          <w:sz w:val="22"/>
          <w:szCs w:val="22"/>
        </w:rPr>
      </w:pPr>
      <w:r>
        <w:rPr>
          <w:rFonts w:ascii="Cambria" w:hAnsi="Cambria" w:cs="Cambria"/>
          <w:sz w:val="22"/>
          <w:szCs w:val="22"/>
        </w:rPr>
        <w:t xml:space="preserve">Secondly, the Ukrainian elections were a </w:t>
      </w:r>
      <w:r w:rsidR="00DD4F97">
        <w:rPr>
          <w:rFonts w:ascii="Cambria" w:hAnsi="Cambria" w:cs="Cambria"/>
          <w:sz w:val="22"/>
          <w:szCs w:val="22"/>
        </w:rPr>
        <w:t>test of approval for Ukraine’s P</w:t>
      </w:r>
      <w:r>
        <w:rPr>
          <w:rFonts w:ascii="Cambria" w:hAnsi="Cambria" w:cs="Cambria"/>
          <w:sz w:val="22"/>
          <w:szCs w:val="22"/>
        </w:rPr>
        <w:t>resident and Prime Minister, whose parties won the elections. With a total public support of 44%, the two parties have started the negotiation</w:t>
      </w:r>
      <w:r w:rsidR="00450C55">
        <w:rPr>
          <w:rFonts w:ascii="Cambria" w:hAnsi="Cambria" w:cs="Cambria"/>
          <w:sz w:val="22"/>
          <w:szCs w:val="22"/>
        </w:rPr>
        <w:t>s</w:t>
      </w:r>
      <w:r>
        <w:rPr>
          <w:rFonts w:ascii="Cambria" w:hAnsi="Cambria" w:cs="Cambria"/>
          <w:sz w:val="22"/>
          <w:szCs w:val="22"/>
        </w:rPr>
        <w:t xml:space="preserve"> on the formation of a parliamentary coalition.  </w:t>
      </w:r>
      <w:r w:rsidR="00464943">
        <w:rPr>
          <w:rFonts w:ascii="Cambria" w:hAnsi="Cambria" w:cs="Cambria"/>
          <w:sz w:val="22"/>
          <w:szCs w:val="22"/>
        </w:rPr>
        <w:t xml:space="preserve">The composition of this coalition is not clear at the moment; nor is it clear whether the </w:t>
      </w:r>
      <w:r w:rsidR="00464943" w:rsidRPr="00FC4CC0">
        <w:rPr>
          <w:rFonts w:ascii="Cambria" w:hAnsi="Cambria" w:cs="Cambria"/>
          <w:i/>
          <w:kern w:val="22"/>
          <w:sz w:val="22"/>
          <w:szCs w:val="22"/>
        </w:rPr>
        <w:t>Samopomich</w:t>
      </w:r>
      <w:r w:rsidR="00464943">
        <w:rPr>
          <w:rFonts w:ascii="Cambria" w:hAnsi="Cambria" w:cs="Cambria"/>
          <w:sz w:val="22"/>
          <w:szCs w:val="22"/>
        </w:rPr>
        <w:t xml:space="preserve"> (Self Help) party of “new faces” with a result of almost 11% will join the coalition.</w:t>
      </w:r>
      <w:r w:rsidR="00464943">
        <w:rPr>
          <w:rStyle w:val="Fotnotsreferens"/>
          <w:rFonts w:ascii="Cambria" w:hAnsi="Cambria" w:cs="Cambria"/>
          <w:sz w:val="22"/>
          <w:szCs w:val="22"/>
        </w:rPr>
        <w:footnoteReference w:id="31"/>
      </w:r>
      <w:r w:rsidR="00464943">
        <w:rPr>
          <w:rFonts w:ascii="Cambria" w:hAnsi="Cambria" w:cs="Cambria"/>
          <w:sz w:val="22"/>
          <w:szCs w:val="22"/>
        </w:rPr>
        <w:t xml:space="preserve"> </w:t>
      </w:r>
      <w:r>
        <w:rPr>
          <w:rFonts w:ascii="Cambria" w:hAnsi="Cambria" w:cs="Cambria"/>
          <w:sz w:val="22"/>
          <w:szCs w:val="22"/>
        </w:rPr>
        <w:t>However, t</w:t>
      </w:r>
      <w:r w:rsidR="00C41033">
        <w:rPr>
          <w:rFonts w:ascii="Cambria" w:hAnsi="Cambria" w:cs="Cambria"/>
          <w:sz w:val="22"/>
          <w:szCs w:val="22"/>
        </w:rPr>
        <w:t>he key message of the election</w:t>
      </w:r>
      <w:r>
        <w:rPr>
          <w:rFonts w:ascii="Cambria" w:hAnsi="Cambria" w:cs="Cambria"/>
          <w:sz w:val="22"/>
          <w:szCs w:val="22"/>
        </w:rPr>
        <w:t xml:space="preserve"> outcome is that the coalition will be based on </w:t>
      </w:r>
      <w:r w:rsidR="00C41033">
        <w:rPr>
          <w:rFonts w:ascii="Cambria" w:hAnsi="Cambria" w:cs="Cambria"/>
          <w:sz w:val="22"/>
          <w:szCs w:val="22"/>
        </w:rPr>
        <w:t>Ukraine’s</w:t>
      </w:r>
      <w:r>
        <w:rPr>
          <w:rFonts w:ascii="Cambria" w:hAnsi="Cambria" w:cs="Cambria"/>
          <w:sz w:val="22"/>
          <w:szCs w:val="22"/>
        </w:rPr>
        <w:t xml:space="preserve"> European course. For the Ukrainian citizens, this message should imply the parliament’s and government’s readiness for structural reforms; for the EU, this should be a signal of Ukraine’s irreversible European direction.</w:t>
      </w:r>
      <w:r>
        <w:rPr>
          <w:rStyle w:val="Fotnotsreferens"/>
          <w:rFonts w:ascii="Cambria" w:hAnsi="Cambria" w:cs="Cambria"/>
          <w:sz w:val="22"/>
          <w:szCs w:val="22"/>
        </w:rPr>
        <w:footnoteReference w:id="32"/>
      </w:r>
      <w:r>
        <w:rPr>
          <w:rFonts w:ascii="Cambria" w:hAnsi="Cambria" w:cs="Cambria"/>
          <w:sz w:val="22"/>
          <w:szCs w:val="22"/>
        </w:rPr>
        <w:t xml:space="preserve"> For both the EU and US, the message should </w:t>
      </w:r>
      <w:r w:rsidR="00C41033">
        <w:rPr>
          <w:rFonts w:ascii="Cambria" w:hAnsi="Cambria" w:cs="Cambria"/>
          <w:sz w:val="22"/>
          <w:szCs w:val="22"/>
        </w:rPr>
        <w:t xml:space="preserve">also </w:t>
      </w:r>
      <w:r>
        <w:rPr>
          <w:rFonts w:ascii="Cambria" w:hAnsi="Cambria" w:cs="Cambria"/>
          <w:sz w:val="22"/>
          <w:szCs w:val="22"/>
        </w:rPr>
        <w:t>be interpreted as a call for financial assistance.</w:t>
      </w:r>
      <w:r>
        <w:rPr>
          <w:rStyle w:val="Fotnotsreferens"/>
          <w:rFonts w:ascii="Cambria" w:hAnsi="Cambria" w:cs="Cambria"/>
          <w:sz w:val="22"/>
          <w:szCs w:val="22"/>
        </w:rPr>
        <w:footnoteReference w:id="33"/>
      </w:r>
    </w:p>
    <w:p w:rsidR="00C41033" w:rsidRDefault="00C41033" w:rsidP="00BC46C5">
      <w:pPr>
        <w:pStyle w:val="Liststycke"/>
        <w:spacing w:line="360" w:lineRule="auto"/>
        <w:ind w:left="142"/>
        <w:jc w:val="both"/>
        <w:rPr>
          <w:rFonts w:ascii="Cambria" w:hAnsi="Cambria" w:cs="Cambria"/>
          <w:sz w:val="22"/>
          <w:szCs w:val="22"/>
        </w:rPr>
      </w:pPr>
    </w:p>
    <w:p w:rsidR="0034516C" w:rsidRDefault="0034516C" w:rsidP="00BC46C5">
      <w:pPr>
        <w:pStyle w:val="Liststycke"/>
        <w:spacing w:line="360" w:lineRule="auto"/>
        <w:ind w:left="142"/>
        <w:jc w:val="both"/>
        <w:rPr>
          <w:rFonts w:ascii="Cambria" w:hAnsi="Cambria" w:cs="Cambria"/>
          <w:sz w:val="22"/>
          <w:szCs w:val="22"/>
        </w:rPr>
      </w:pPr>
      <w:r>
        <w:rPr>
          <w:rFonts w:ascii="Cambria" w:hAnsi="Cambria" w:cs="Cambria"/>
          <w:sz w:val="22"/>
          <w:szCs w:val="22"/>
        </w:rPr>
        <w:lastRenderedPageBreak/>
        <w:t>However, it is important to remember that the balanced representation of all the Ukrainian regions is crucial for its stability. The fact that the Op</w:t>
      </w:r>
      <w:r w:rsidR="00C41033">
        <w:rPr>
          <w:rFonts w:ascii="Cambria" w:hAnsi="Cambria" w:cs="Cambria"/>
          <w:sz w:val="22"/>
          <w:szCs w:val="22"/>
        </w:rPr>
        <w:t>positional Bloc, which consist</w:t>
      </w:r>
      <w:r>
        <w:rPr>
          <w:rFonts w:ascii="Cambria" w:hAnsi="Cambria" w:cs="Cambria"/>
          <w:sz w:val="22"/>
          <w:szCs w:val="22"/>
        </w:rPr>
        <w:t xml:space="preserve"> of the Party of Regions members and positioned itself as a representative of the Eastern and Southern regions, gained </w:t>
      </w:r>
      <w:r w:rsidR="00C41033">
        <w:rPr>
          <w:rFonts w:ascii="Cambria" w:hAnsi="Cambria" w:cs="Cambria"/>
          <w:sz w:val="22"/>
          <w:szCs w:val="22"/>
        </w:rPr>
        <w:t>over</w:t>
      </w:r>
      <w:r>
        <w:rPr>
          <w:rFonts w:ascii="Cambria" w:hAnsi="Cambria" w:cs="Cambria"/>
          <w:sz w:val="22"/>
          <w:szCs w:val="22"/>
        </w:rPr>
        <w:t xml:space="preserve"> 9% of national vote does not adequately reflect the electoral preferences in these regions.</w:t>
      </w:r>
      <w:r>
        <w:rPr>
          <w:rStyle w:val="Fotnotsreferens"/>
          <w:rFonts w:ascii="Cambria" w:hAnsi="Cambria" w:cs="Cambria"/>
          <w:sz w:val="22"/>
          <w:szCs w:val="22"/>
        </w:rPr>
        <w:footnoteReference w:id="34"/>
      </w:r>
      <w:r>
        <w:rPr>
          <w:rFonts w:ascii="Cambria" w:hAnsi="Cambria" w:cs="Cambria"/>
          <w:sz w:val="22"/>
          <w:szCs w:val="22"/>
        </w:rPr>
        <w:t xml:space="preserve"> In fact, the capability of this party to represent national interests has been questioned due to its discredited public image </w:t>
      </w:r>
      <w:r w:rsidR="00C41033">
        <w:rPr>
          <w:rFonts w:ascii="Cambria" w:hAnsi="Cambria" w:cs="Cambria"/>
          <w:sz w:val="22"/>
          <w:szCs w:val="22"/>
        </w:rPr>
        <w:t>as ‘the Yanukovych’s party’ and its anti-Maidan and pro-Russian</w:t>
      </w:r>
      <w:r>
        <w:rPr>
          <w:rFonts w:ascii="Cambria" w:hAnsi="Cambria" w:cs="Cambria"/>
          <w:sz w:val="22"/>
          <w:szCs w:val="22"/>
        </w:rPr>
        <w:t xml:space="preserve"> stance. </w:t>
      </w:r>
    </w:p>
    <w:p w:rsidR="00C41033" w:rsidRDefault="00C41033" w:rsidP="0034516C">
      <w:pPr>
        <w:pStyle w:val="Liststycke"/>
        <w:spacing w:line="360" w:lineRule="auto"/>
        <w:ind w:left="142"/>
        <w:jc w:val="both"/>
        <w:rPr>
          <w:rFonts w:ascii="Cambria" w:hAnsi="Cambria" w:cs="Cambria"/>
          <w:sz w:val="22"/>
          <w:szCs w:val="22"/>
        </w:rPr>
      </w:pPr>
    </w:p>
    <w:p w:rsidR="0034516C" w:rsidRDefault="0034516C" w:rsidP="0034516C">
      <w:pPr>
        <w:pStyle w:val="Liststycke"/>
        <w:spacing w:line="360" w:lineRule="auto"/>
        <w:ind w:left="142"/>
        <w:jc w:val="both"/>
        <w:rPr>
          <w:rFonts w:ascii="Cambria" w:hAnsi="Cambria" w:cs="Cambria"/>
          <w:sz w:val="22"/>
          <w:szCs w:val="22"/>
        </w:rPr>
      </w:pPr>
      <w:r>
        <w:rPr>
          <w:rFonts w:ascii="Cambria" w:hAnsi="Cambria" w:cs="Cambria"/>
          <w:sz w:val="22"/>
          <w:szCs w:val="22"/>
        </w:rPr>
        <w:t>I</w:t>
      </w:r>
      <w:r w:rsidR="00C41033">
        <w:rPr>
          <w:rFonts w:ascii="Cambria" w:hAnsi="Cambria" w:cs="Cambria"/>
          <w:sz w:val="22"/>
          <w:szCs w:val="22"/>
        </w:rPr>
        <w:t xml:space="preserve">t is worthy of note that only </w:t>
      </w:r>
      <w:r>
        <w:rPr>
          <w:rFonts w:ascii="Cambria" w:hAnsi="Cambria" w:cs="Cambria"/>
          <w:sz w:val="22"/>
          <w:szCs w:val="22"/>
        </w:rPr>
        <w:t xml:space="preserve">half of the Ukrainian parliament is </w:t>
      </w:r>
      <w:r w:rsidR="00C41033">
        <w:rPr>
          <w:rFonts w:ascii="Cambria" w:hAnsi="Cambria" w:cs="Cambria"/>
          <w:sz w:val="22"/>
          <w:szCs w:val="22"/>
        </w:rPr>
        <w:t>elected through</w:t>
      </w:r>
      <w:r>
        <w:rPr>
          <w:rFonts w:ascii="Cambria" w:hAnsi="Cambria" w:cs="Cambria"/>
          <w:sz w:val="22"/>
          <w:szCs w:val="22"/>
        </w:rPr>
        <w:t xml:space="preserve"> proportional representation. Almost 50% of the 198 ma</w:t>
      </w:r>
      <w:r w:rsidR="00C41033">
        <w:rPr>
          <w:rFonts w:ascii="Cambria" w:hAnsi="Cambria" w:cs="Cambria"/>
          <w:sz w:val="22"/>
          <w:szCs w:val="22"/>
        </w:rPr>
        <w:t>joritarian MPs are independent</w:t>
      </w:r>
      <w:r>
        <w:rPr>
          <w:rFonts w:ascii="Cambria" w:hAnsi="Cambria" w:cs="Cambria"/>
          <w:sz w:val="22"/>
          <w:szCs w:val="22"/>
        </w:rPr>
        <w:t xml:space="preserve"> and do not officially belong to any of the political parties.</w:t>
      </w:r>
      <w:r>
        <w:rPr>
          <w:rStyle w:val="Fotnotsreferens"/>
          <w:rFonts w:ascii="Cambria" w:hAnsi="Cambria" w:cs="Cambria"/>
          <w:sz w:val="22"/>
          <w:szCs w:val="22"/>
        </w:rPr>
        <w:footnoteReference w:id="35"/>
      </w:r>
      <w:r>
        <w:rPr>
          <w:rFonts w:ascii="Cambria" w:hAnsi="Cambria" w:cs="Cambria"/>
          <w:sz w:val="22"/>
          <w:szCs w:val="22"/>
        </w:rPr>
        <w:t xml:space="preserve"> Some of these MPs are ex-m</w:t>
      </w:r>
      <w:r w:rsidR="00C41033">
        <w:rPr>
          <w:rFonts w:ascii="Cambria" w:hAnsi="Cambria" w:cs="Cambria"/>
          <w:sz w:val="22"/>
          <w:szCs w:val="22"/>
        </w:rPr>
        <w:t xml:space="preserve">embers of the Party of Regions, </w:t>
      </w:r>
      <w:r>
        <w:rPr>
          <w:rFonts w:ascii="Cambria" w:hAnsi="Cambria" w:cs="Cambria"/>
          <w:sz w:val="22"/>
          <w:szCs w:val="22"/>
        </w:rPr>
        <w:t xml:space="preserve">while </w:t>
      </w:r>
      <w:r w:rsidR="00C41033">
        <w:rPr>
          <w:rFonts w:ascii="Cambria" w:hAnsi="Cambria" w:cs="Cambria"/>
          <w:sz w:val="22"/>
          <w:szCs w:val="22"/>
        </w:rPr>
        <w:t xml:space="preserve">others </w:t>
      </w:r>
      <w:r>
        <w:rPr>
          <w:rFonts w:ascii="Cambria" w:hAnsi="Cambria" w:cs="Cambria"/>
          <w:sz w:val="22"/>
          <w:szCs w:val="22"/>
        </w:rPr>
        <w:t>represent the interests of financial and industrial groups.</w:t>
      </w:r>
      <w:r>
        <w:rPr>
          <w:rStyle w:val="Fotnotsreferens"/>
          <w:rFonts w:ascii="Cambria" w:hAnsi="Cambria" w:cs="Cambria"/>
          <w:sz w:val="22"/>
          <w:szCs w:val="22"/>
        </w:rPr>
        <w:footnoteReference w:id="36"/>
      </w:r>
      <w:r>
        <w:rPr>
          <w:rFonts w:ascii="Cambria" w:hAnsi="Cambria" w:cs="Cambria"/>
          <w:sz w:val="22"/>
          <w:szCs w:val="22"/>
        </w:rPr>
        <w:t xml:space="preserve"> </w:t>
      </w:r>
      <w:r w:rsidRPr="0034516C">
        <w:rPr>
          <w:rFonts w:ascii="Cambria" w:hAnsi="Cambria" w:cs="Cambria"/>
          <w:sz w:val="22"/>
          <w:szCs w:val="22"/>
        </w:rPr>
        <w:t>The political positioning of independent MPs in the Ukrainian parliament is unpredictable at the moment</w:t>
      </w:r>
      <w:r w:rsidR="007E438E">
        <w:rPr>
          <w:rFonts w:ascii="Cambria" w:hAnsi="Cambria" w:cs="Cambria"/>
          <w:sz w:val="22"/>
          <w:szCs w:val="22"/>
        </w:rPr>
        <w:t xml:space="preserve"> but</w:t>
      </w:r>
      <w:r w:rsidR="00C41033">
        <w:rPr>
          <w:rFonts w:ascii="Cambria" w:hAnsi="Cambria" w:cs="Cambria"/>
          <w:sz w:val="22"/>
          <w:szCs w:val="22"/>
        </w:rPr>
        <w:t xml:space="preserve"> it will clearly play an important role in shaping future Ukraine.</w:t>
      </w:r>
    </w:p>
    <w:p w:rsidR="00C41033" w:rsidRDefault="00C41033" w:rsidP="0034516C">
      <w:pPr>
        <w:pStyle w:val="Liststycke"/>
        <w:spacing w:line="360" w:lineRule="auto"/>
        <w:ind w:left="142"/>
        <w:jc w:val="both"/>
        <w:rPr>
          <w:rFonts w:ascii="Cambria" w:hAnsi="Cambria" w:cs="Cambria"/>
          <w:sz w:val="22"/>
          <w:szCs w:val="22"/>
        </w:rPr>
      </w:pPr>
    </w:p>
    <w:p w:rsidR="0034516C" w:rsidRDefault="00450C55" w:rsidP="0034516C">
      <w:pPr>
        <w:pStyle w:val="Liststycke"/>
        <w:spacing w:line="360" w:lineRule="auto"/>
        <w:ind w:left="142"/>
        <w:jc w:val="both"/>
        <w:rPr>
          <w:rFonts w:ascii="Cambria" w:hAnsi="Cambria" w:cs="Cambria"/>
          <w:b/>
          <w:sz w:val="22"/>
          <w:szCs w:val="22"/>
        </w:rPr>
      </w:pPr>
      <w:r>
        <w:rPr>
          <w:rFonts w:ascii="Cambria" w:hAnsi="Cambria" w:cs="Cambria"/>
          <w:b/>
          <w:sz w:val="22"/>
          <w:szCs w:val="22"/>
        </w:rPr>
        <w:t xml:space="preserve">          </w:t>
      </w:r>
      <w:r w:rsidR="0034516C">
        <w:rPr>
          <w:rFonts w:ascii="Cambria" w:hAnsi="Cambria" w:cs="Cambria"/>
          <w:b/>
          <w:sz w:val="22"/>
          <w:szCs w:val="22"/>
        </w:rPr>
        <w:t>V. Conclusion</w:t>
      </w:r>
    </w:p>
    <w:p w:rsidR="0053785E" w:rsidRPr="00C41033" w:rsidRDefault="0034516C" w:rsidP="00C41033">
      <w:pPr>
        <w:pStyle w:val="Liststycke"/>
        <w:spacing w:line="360" w:lineRule="auto"/>
        <w:ind w:left="142"/>
        <w:jc w:val="both"/>
        <w:rPr>
          <w:rFonts w:ascii="Cambria" w:hAnsi="Cambria" w:cs="Cambria"/>
          <w:sz w:val="22"/>
          <w:szCs w:val="22"/>
        </w:rPr>
      </w:pPr>
      <w:r w:rsidRPr="0034516C">
        <w:rPr>
          <w:rFonts w:ascii="Cambria" w:hAnsi="Cambria" w:cs="Cambria"/>
          <w:sz w:val="22"/>
          <w:szCs w:val="22"/>
        </w:rPr>
        <w:t xml:space="preserve">The </w:t>
      </w:r>
      <w:r>
        <w:rPr>
          <w:rFonts w:ascii="Cambria" w:hAnsi="Cambria" w:cs="Cambria"/>
          <w:sz w:val="22"/>
          <w:szCs w:val="22"/>
        </w:rPr>
        <w:t xml:space="preserve">West’s and Russia’s </w:t>
      </w:r>
      <w:r w:rsidRPr="0034516C">
        <w:rPr>
          <w:rFonts w:ascii="Cambria" w:hAnsi="Cambria" w:cs="Cambria"/>
          <w:sz w:val="22"/>
          <w:szCs w:val="22"/>
        </w:rPr>
        <w:t xml:space="preserve">conflicting </w:t>
      </w:r>
      <w:r>
        <w:rPr>
          <w:rFonts w:ascii="Cambria" w:hAnsi="Cambria" w:cs="Cambria"/>
          <w:sz w:val="22"/>
          <w:szCs w:val="22"/>
        </w:rPr>
        <w:t xml:space="preserve">visions of Ukraine </w:t>
      </w:r>
      <w:r w:rsidR="00C41033">
        <w:rPr>
          <w:rFonts w:ascii="Cambria" w:hAnsi="Cambria" w:cs="Cambria"/>
          <w:sz w:val="22"/>
          <w:szCs w:val="22"/>
        </w:rPr>
        <w:t>could be seen as a</w:t>
      </w:r>
      <w:r>
        <w:rPr>
          <w:rFonts w:ascii="Cambria" w:hAnsi="Cambria" w:cs="Cambria"/>
          <w:sz w:val="22"/>
          <w:szCs w:val="22"/>
        </w:rPr>
        <w:t xml:space="preserve"> confrontation of their current geopolitical and security concepts. </w:t>
      </w:r>
      <w:r>
        <w:rPr>
          <w:rFonts w:ascii="Cambria" w:hAnsi="Cambria" w:cs="Cambria"/>
          <w:sz w:val="22"/>
          <w:szCs w:val="22"/>
        </w:rPr>
        <w:lastRenderedPageBreak/>
        <w:t>While for Western political actors, Ukraine itself has not been a h</w:t>
      </w:r>
      <w:r w:rsidR="00E52BE7">
        <w:rPr>
          <w:rFonts w:ascii="Cambria" w:hAnsi="Cambria" w:cs="Cambria"/>
          <w:sz w:val="22"/>
          <w:szCs w:val="22"/>
        </w:rPr>
        <w:t>igh-priority matter, for Russia</w:t>
      </w:r>
      <w:r>
        <w:rPr>
          <w:rFonts w:ascii="Cambria" w:hAnsi="Cambria" w:cs="Cambria"/>
          <w:sz w:val="22"/>
          <w:szCs w:val="22"/>
        </w:rPr>
        <w:t xml:space="preserve"> Ukraine has </w:t>
      </w:r>
      <w:r w:rsidR="00464943">
        <w:rPr>
          <w:rFonts w:ascii="Cambria" w:hAnsi="Cambria" w:cs="Cambria"/>
          <w:sz w:val="22"/>
          <w:szCs w:val="22"/>
        </w:rPr>
        <w:t>a strategic importance, which helps</w:t>
      </w:r>
      <w:r w:rsidR="00C41033">
        <w:rPr>
          <w:rFonts w:ascii="Cambria" w:hAnsi="Cambria" w:cs="Cambria"/>
          <w:sz w:val="22"/>
          <w:szCs w:val="22"/>
        </w:rPr>
        <w:t xml:space="preserve"> explain</w:t>
      </w:r>
      <w:r>
        <w:rPr>
          <w:rFonts w:ascii="Cambria" w:hAnsi="Cambria" w:cs="Cambria"/>
          <w:sz w:val="22"/>
          <w:szCs w:val="22"/>
        </w:rPr>
        <w:t xml:space="preserve"> the high-risk decisions of the latter.</w:t>
      </w:r>
      <w:r w:rsidR="00C41033">
        <w:rPr>
          <w:rFonts w:ascii="Cambria" w:hAnsi="Cambria" w:cs="Cambria"/>
          <w:sz w:val="22"/>
          <w:szCs w:val="22"/>
        </w:rPr>
        <w:t xml:space="preserve"> </w:t>
      </w:r>
      <w:r w:rsidR="0053785E" w:rsidRPr="00C41033">
        <w:rPr>
          <w:rFonts w:ascii="Cambria" w:hAnsi="Cambria" w:cs="Cambria"/>
          <w:sz w:val="22"/>
          <w:szCs w:val="22"/>
        </w:rPr>
        <w:t xml:space="preserve">As a result of the escalated Ukrainian – Russian conflict, Ukraine’s internal affairs have become a focus of international scrutiny. This interest can be partially explained by the perception of Ukraine as a weak state, which is fought over by the West and Russia. </w:t>
      </w:r>
      <w:r w:rsidR="00C41033">
        <w:rPr>
          <w:rFonts w:ascii="Cambria" w:hAnsi="Cambria" w:cs="Cambria"/>
          <w:sz w:val="22"/>
          <w:szCs w:val="22"/>
        </w:rPr>
        <w:t>Additionally, b</w:t>
      </w:r>
      <w:r w:rsidR="0053785E" w:rsidRPr="00C41033">
        <w:rPr>
          <w:rFonts w:ascii="Cambria" w:hAnsi="Cambria" w:cs="Cambria"/>
          <w:sz w:val="22"/>
          <w:szCs w:val="22"/>
        </w:rPr>
        <w:t xml:space="preserve">oth sides </w:t>
      </w:r>
      <w:r w:rsidR="00C41033">
        <w:rPr>
          <w:rFonts w:ascii="Cambria" w:hAnsi="Cambria" w:cs="Cambria"/>
          <w:sz w:val="22"/>
          <w:szCs w:val="22"/>
        </w:rPr>
        <w:t xml:space="preserve">appear to </w:t>
      </w:r>
      <w:r w:rsidR="0053785E" w:rsidRPr="00C41033">
        <w:rPr>
          <w:rFonts w:ascii="Cambria" w:hAnsi="Cambria" w:cs="Cambria"/>
          <w:sz w:val="22"/>
          <w:szCs w:val="22"/>
        </w:rPr>
        <w:t>envisage Ukraine as an important comforting barrier between each other.</w:t>
      </w:r>
    </w:p>
    <w:p w:rsidR="00C41033" w:rsidRDefault="00C41033" w:rsidP="0053785E">
      <w:pPr>
        <w:pStyle w:val="Liststycke"/>
        <w:spacing w:line="360" w:lineRule="auto"/>
        <w:ind w:left="142"/>
        <w:jc w:val="both"/>
        <w:rPr>
          <w:rFonts w:ascii="Cambria" w:hAnsi="Cambria" w:cs="Cambria"/>
          <w:sz w:val="22"/>
          <w:szCs w:val="22"/>
        </w:rPr>
      </w:pPr>
    </w:p>
    <w:p w:rsidR="0034516C" w:rsidRPr="00C41033" w:rsidRDefault="0053785E" w:rsidP="00C41033">
      <w:pPr>
        <w:pStyle w:val="Liststycke"/>
        <w:spacing w:line="360" w:lineRule="auto"/>
        <w:ind w:left="142"/>
        <w:jc w:val="both"/>
        <w:rPr>
          <w:rFonts w:ascii="Cambria" w:hAnsi="Cambria" w:cs="Cambria"/>
          <w:sz w:val="22"/>
          <w:szCs w:val="22"/>
        </w:rPr>
      </w:pPr>
      <w:r>
        <w:rPr>
          <w:rFonts w:ascii="Cambria" w:hAnsi="Cambria" w:cs="Cambria"/>
          <w:sz w:val="22"/>
          <w:szCs w:val="22"/>
        </w:rPr>
        <w:t xml:space="preserve">The strong influence of the external factor on Ukraine’s domestic matters has been aggravated by the </w:t>
      </w:r>
      <w:r w:rsidR="00C41033">
        <w:rPr>
          <w:rFonts w:ascii="Cambria" w:hAnsi="Cambria" w:cs="Cambria"/>
          <w:sz w:val="22"/>
          <w:szCs w:val="22"/>
        </w:rPr>
        <w:t>increasing</w:t>
      </w:r>
      <w:r>
        <w:rPr>
          <w:rFonts w:ascii="Cambria" w:hAnsi="Cambria" w:cs="Cambria"/>
          <w:sz w:val="22"/>
          <w:szCs w:val="22"/>
        </w:rPr>
        <w:t xml:space="preserve"> complexity within Ukraine</w:t>
      </w:r>
      <w:r w:rsidR="008B0DE4">
        <w:rPr>
          <w:rFonts w:ascii="Cambria" w:hAnsi="Cambria" w:cs="Cambria"/>
          <w:sz w:val="22"/>
          <w:szCs w:val="22"/>
        </w:rPr>
        <w:t>. It is clear that t</w:t>
      </w:r>
      <w:r w:rsidR="008B0DE4" w:rsidRPr="00C41033">
        <w:rPr>
          <w:rFonts w:ascii="Cambria" w:hAnsi="Cambria" w:cs="Cambria"/>
          <w:sz w:val="22"/>
          <w:szCs w:val="22"/>
        </w:rPr>
        <w:t xml:space="preserve">he external </w:t>
      </w:r>
      <w:r w:rsidR="008B0DE4">
        <w:rPr>
          <w:rFonts w:ascii="Cambria" w:hAnsi="Cambria" w:cs="Cambria"/>
          <w:sz w:val="22"/>
          <w:szCs w:val="22"/>
        </w:rPr>
        <w:t>influence</w:t>
      </w:r>
      <w:r w:rsidR="008B0DE4" w:rsidRPr="00C41033">
        <w:rPr>
          <w:rFonts w:ascii="Cambria" w:hAnsi="Cambria" w:cs="Cambria"/>
          <w:sz w:val="22"/>
          <w:szCs w:val="22"/>
        </w:rPr>
        <w:t xml:space="preserve"> </w:t>
      </w:r>
      <w:r w:rsidR="008B0DE4">
        <w:rPr>
          <w:rFonts w:ascii="Cambria" w:hAnsi="Cambria" w:cs="Cambria"/>
          <w:sz w:val="22"/>
          <w:szCs w:val="22"/>
        </w:rPr>
        <w:t>of the West and Russia has had</w:t>
      </w:r>
      <w:r w:rsidR="008B0DE4" w:rsidRPr="00C41033">
        <w:rPr>
          <w:rFonts w:ascii="Cambria" w:hAnsi="Cambria" w:cs="Cambria"/>
          <w:sz w:val="22"/>
          <w:szCs w:val="22"/>
        </w:rPr>
        <w:t xml:space="preserve"> significant effect</w:t>
      </w:r>
      <w:r w:rsidR="008B0DE4">
        <w:rPr>
          <w:rFonts w:ascii="Cambria" w:hAnsi="Cambria" w:cs="Cambria"/>
          <w:sz w:val="22"/>
          <w:szCs w:val="22"/>
        </w:rPr>
        <w:t>s</w:t>
      </w:r>
      <w:r w:rsidR="008B0DE4" w:rsidRPr="00C41033">
        <w:rPr>
          <w:rFonts w:ascii="Cambria" w:hAnsi="Cambria" w:cs="Cambria"/>
          <w:sz w:val="22"/>
          <w:szCs w:val="22"/>
        </w:rPr>
        <w:t xml:space="preserve"> on Ukraine’s internal affairs due to its destabilised political system and economic hardships.</w:t>
      </w:r>
      <w:r w:rsidR="008B0DE4">
        <w:rPr>
          <w:rFonts w:ascii="Cambria" w:hAnsi="Cambria" w:cs="Cambria"/>
          <w:sz w:val="22"/>
          <w:szCs w:val="22"/>
        </w:rPr>
        <w:t xml:space="preserve"> T</w:t>
      </w:r>
      <w:r>
        <w:rPr>
          <w:rFonts w:ascii="Cambria" w:hAnsi="Cambria" w:cs="Cambria"/>
          <w:sz w:val="22"/>
          <w:szCs w:val="22"/>
        </w:rPr>
        <w:t xml:space="preserve">herefore, the internal and external components of the Ukrainian crisis have to be </w:t>
      </w:r>
      <w:r w:rsidR="00C41033">
        <w:rPr>
          <w:rFonts w:ascii="Cambria" w:hAnsi="Cambria" w:cs="Cambria"/>
          <w:sz w:val="22"/>
          <w:szCs w:val="22"/>
        </w:rPr>
        <w:t>understood together</w:t>
      </w:r>
      <w:r>
        <w:rPr>
          <w:rFonts w:ascii="Cambria" w:hAnsi="Cambria" w:cs="Cambria"/>
          <w:sz w:val="22"/>
          <w:szCs w:val="22"/>
        </w:rPr>
        <w:t xml:space="preserve">. </w:t>
      </w:r>
    </w:p>
    <w:p w:rsidR="0034516C" w:rsidRPr="0034516C" w:rsidRDefault="0034516C" w:rsidP="0034516C">
      <w:pPr>
        <w:pStyle w:val="Liststycke"/>
        <w:spacing w:line="360" w:lineRule="auto"/>
        <w:ind w:left="142"/>
        <w:rPr>
          <w:rFonts w:ascii="Cambria" w:hAnsi="Cambria" w:cs="Cambria"/>
          <w:b/>
          <w:sz w:val="22"/>
          <w:szCs w:val="22"/>
        </w:rPr>
      </w:pPr>
    </w:p>
    <w:p w:rsidR="009D0F39" w:rsidRDefault="00FA6785">
      <w:pPr>
        <w:jc w:val="both"/>
        <w:rPr>
          <w:rFonts w:ascii="Cambria" w:hAnsi="Cambria" w:cs="Cambria"/>
          <w:sz w:val="22"/>
          <w:szCs w:val="23"/>
        </w:rPr>
      </w:pPr>
      <w:r>
        <w:rPr>
          <w:rFonts w:ascii="Cambria" w:hAnsi="Cambria" w:cs="Cambria"/>
          <w:sz w:val="22"/>
          <w:szCs w:val="23"/>
        </w:rPr>
        <w:t>-</w:t>
      </w:r>
    </w:p>
    <w:p w:rsidR="009D0F39" w:rsidRDefault="009D0F39">
      <w:pPr>
        <w:jc w:val="both"/>
        <w:rPr>
          <w:rFonts w:ascii="Cambria" w:hAnsi="Cambria" w:cs="Cambria"/>
          <w:sz w:val="22"/>
          <w:szCs w:val="23"/>
        </w:rPr>
      </w:pPr>
    </w:p>
    <w:p w:rsidR="009D0F39" w:rsidRDefault="00EB16DF">
      <w:pPr>
        <w:jc w:val="both"/>
        <w:rPr>
          <w:rStyle w:val="Hyperlnk"/>
          <w:rFonts w:ascii="Cambria" w:eastAsia="Times New Roman" w:hAnsi="Cambria" w:cs="Cambria"/>
          <w:sz w:val="22"/>
          <w:szCs w:val="17"/>
          <w:lang w:eastAsia="ar-SA" w:bidi="ar-SA"/>
        </w:rPr>
      </w:pPr>
      <w:r>
        <w:rPr>
          <w:rFonts w:ascii="Cambria" w:hAnsi="Cambria" w:cs="Cambria"/>
          <w:sz w:val="22"/>
          <w:szCs w:val="23"/>
        </w:rPr>
        <w:t>Ielizaveta Rekhtman is a Research Assistant</w:t>
      </w:r>
      <w:r w:rsidR="00FA6785">
        <w:rPr>
          <w:rFonts w:ascii="Cambria" w:hAnsi="Cambria" w:cs="Cambria"/>
          <w:sz w:val="22"/>
          <w:szCs w:val="23"/>
        </w:rPr>
        <w:t xml:space="preserve"> with the HSC. Contactable at:</w:t>
      </w:r>
    </w:p>
    <w:p w:rsidR="009D0F39" w:rsidRPr="00EB16DF" w:rsidRDefault="00FD7DEA">
      <w:pPr>
        <w:rPr>
          <w:rFonts w:asciiTheme="majorHAnsi" w:hAnsiTheme="majorHAnsi" w:cs="Cambria"/>
          <w:sz w:val="22"/>
          <w:szCs w:val="22"/>
        </w:rPr>
      </w:pPr>
      <w:hyperlink r:id="rId9" w:history="1">
        <w:r w:rsidR="00EB16DF" w:rsidRPr="00EB16DF">
          <w:rPr>
            <w:rStyle w:val="Hyperlnk"/>
            <w:rFonts w:asciiTheme="majorHAnsi" w:hAnsiTheme="majorHAnsi" w:cs="Tahoma"/>
            <w:sz w:val="22"/>
            <w:szCs w:val="22"/>
            <w:bdr w:val="none" w:sz="0" w:space="0" w:color="auto" w:frame="1"/>
            <w:shd w:val="clear" w:color="auto" w:fill="FFFFFF"/>
          </w:rPr>
          <w:t>ielizaveta.rekhtman@hscentre.org</w:t>
        </w:r>
      </w:hyperlink>
      <w:r w:rsidR="00EB16DF" w:rsidRPr="00EB16DF">
        <w:rPr>
          <w:rFonts w:asciiTheme="majorHAnsi" w:hAnsiTheme="majorHAnsi" w:cs="Tahoma"/>
          <w:color w:val="008080"/>
          <w:sz w:val="22"/>
          <w:szCs w:val="22"/>
          <w:bdr w:val="none" w:sz="0" w:space="0" w:color="auto" w:frame="1"/>
          <w:shd w:val="clear" w:color="auto" w:fill="FFFFFF"/>
        </w:rPr>
        <w:t xml:space="preserve"> </w:t>
      </w:r>
      <w:r w:rsidR="00FA6785" w:rsidRPr="00EB16DF">
        <w:rPr>
          <w:rFonts w:asciiTheme="majorHAnsi" w:eastAsia="Times New Roman" w:hAnsiTheme="majorHAnsi" w:cs="Cambria"/>
          <w:sz w:val="22"/>
          <w:szCs w:val="22"/>
          <w:lang w:eastAsia="ar-SA" w:bidi="ar-SA"/>
        </w:rPr>
        <w:t xml:space="preserve"> </w:t>
      </w:r>
    </w:p>
    <w:p w:rsidR="009D0F39" w:rsidRDefault="009D0F39">
      <w:pPr>
        <w:jc w:val="both"/>
        <w:rPr>
          <w:rFonts w:ascii="Cambria" w:hAnsi="Cambria" w:cs="Cambria"/>
          <w:sz w:val="22"/>
          <w:szCs w:val="23"/>
        </w:rPr>
      </w:pPr>
    </w:p>
    <w:p w:rsidR="009D0F39" w:rsidRDefault="00FA6785">
      <w:pPr>
        <w:jc w:val="both"/>
        <w:rPr>
          <w:rFonts w:ascii="Cambria" w:eastAsia="@SimSun" w:hAnsi="Cambria" w:cs="Cambria"/>
          <w:sz w:val="22"/>
          <w:szCs w:val="22"/>
        </w:rPr>
      </w:pPr>
      <w:r>
        <w:rPr>
          <w:rFonts w:ascii="Cambria" w:hAnsi="Cambria" w:cs="Cambria"/>
          <w:sz w:val="22"/>
          <w:szCs w:val="23"/>
        </w:rPr>
        <w:t xml:space="preserve">Cite this article as: </w:t>
      </w:r>
    </w:p>
    <w:p w:rsidR="00FA6785" w:rsidRDefault="00D8549C">
      <w:pPr>
        <w:pStyle w:val="10"/>
        <w:shd w:val="clear" w:color="auto" w:fill="FFFFFF"/>
        <w:spacing w:before="0" w:after="227" w:line="200" w:lineRule="atLeast"/>
        <w:jc w:val="both"/>
      </w:pPr>
      <w:r>
        <w:rPr>
          <w:rFonts w:ascii="Cambria" w:eastAsia="@SimSun" w:hAnsi="Cambria" w:cs="Cambria"/>
          <w:sz w:val="22"/>
          <w:szCs w:val="22"/>
        </w:rPr>
        <w:t>Rekhtman</w:t>
      </w:r>
      <w:r w:rsidR="00FA6785">
        <w:rPr>
          <w:rFonts w:ascii="Cambria" w:eastAsia="@SimSun" w:hAnsi="Cambria" w:cs="Cambria"/>
          <w:sz w:val="22"/>
          <w:szCs w:val="22"/>
        </w:rPr>
        <w:t xml:space="preserve">, </w:t>
      </w:r>
      <w:r w:rsidR="00414A27">
        <w:rPr>
          <w:rFonts w:ascii="Cambria" w:eastAsia="@SimSun" w:hAnsi="Cambria" w:cs="Cambria"/>
          <w:sz w:val="22"/>
          <w:szCs w:val="22"/>
        </w:rPr>
        <w:t>I</w:t>
      </w:r>
      <w:r>
        <w:rPr>
          <w:rFonts w:ascii="Cambria" w:eastAsia="@SimSun" w:hAnsi="Cambria" w:cs="Cambria"/>
          <w:sz w:val="22"/>
          <w:szCs w:val="22"/>
        </w:rPr>
        <w:t>.</w:t>
      </w:r>
      <w:r w:rsidR="00EB16DF">
        <w:rPr>
          <w:rFonts w:ascii="Cambria" w:eastAsia="@SimSun" w:hAnsi="Cambria" w:cs="Cambria"/>
          <w:sz w:val="22"/>
          <w:szCs w:val="22"/>
        </w:rPr>
        <w:t xml:space="preserve"> (2014). ‘In Search of the Lost Balance: Analysing the Role of External </w:t>
      </w:r>
      <w:r w:rsidR="00CA1415">
        <w:rPr>
          <w:rFonts w:ascii="Cambria" w:eastAsia="@SimSun" w:hAnsi="Cambria" w:cs="Cambria"/>
          <w:sz w:val="22"/>
          <w:szCs w:val="22"/>
        </w:rPr>
        <w:t>Involvement</w:t>
      </w:r>
      <w:r w:rsidR="00EB16DF">
        <w:rPr>
          <w:rFonts w:ascii="Cambria" w:eastAsia="@SimSun" w:hAnsi="Cambria" w:cs="Cambria"/>
          <w:sz w:val="22"/>
          <w:szCs w:val="22"/>
        </w:rPr>
        <w:t xml:space="preserve"> in the Ukrainian Crisis</w:t>
      </w:r>
      <w:r w:rsidR="00FA6785">
        <w:rPr>
          <w:rFonts w:ascii="Cambria" w:eastAsia="@SimSun" w:hAnsi="Cambria" w:cs="Cambria"/>
          <w:sz w:val="22"/>
          <w:szCs w:val="22"/>
        </w:rPr>
        <w:t xml:space="preserve">’ </w:t>
      </w:r>
      <w:r w:rsidR="00FA6785">
        <w:rPr>
          <w:rFonts w:ascii="Cambria" w:eastAsia="@SimSun" w:hAnsi="Cambria" w:cs="Cambria"/>
          <w:i/>
          <w:iCs/>
          <w:sz w:val="22"/>
          <w:szCs w:val="22"/>
        </w:rPr>
        <w:t>Human Security Centre Policy Brief,</w:t>
      </w:r>
      <w:r w:rsidR="00414A27">
        <w:rPr>
          <w:rFonts w:ascii="Cambria" w:eastAsia="@SimSun" w:hAnsi="Cambria" w:cs="Cambria"/>
          <w:sz w:val="22"/>
          <w:szCs w:val="22"/>
        </w:rPr>
        <w:t xml:space="preserve"> Issue 11, No. 1</w:t>
      </w:r>
      <w:r w:rsidR="004A67AE">
        <w:rPr>
          <w:rFonts w:ascii="Cambria" w:eastAsia="@SimSun" w:hAnsi="Cambria" w:cs="Cambria"/>
          <w:sz w:val="22"/>
          <w:szCs w:val="22"/>
        </w:rPr>
        <w:t>, November</w:t>
      </w:r>
      <w:r w:rsidR="00FA6785">
        <w:rPr>
          <w:rFonts w:ascii="Cambria" w:eastAsia="@SimSun" w:hAnsi="Cambria" w:cs="Cambria"/>
          <w:sz w:val="22"/>
          <w:szCs w:val="22"/>
        </w:rPr>
        <w:t xml:space="preserve"> 2014.</w:t>
      </w:r>
    </w:p>
    <w:sectPr w:rsidR="00FA6785" w:rsidSect="009D0F39">
      <w:headerReference w:type="default" r:id="rId10"/>
      <w:pgSz w:w="11906" w:h="16838"/>
      <w:pgMar w:top="2706" w:right="1134" w:bottom="1134" w:left="1134" w:header="1134" w:footer="720" w:gutter="0"/>
      <w:cols w:num="2" w:sep="1" w:space="282"/>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EA" w:rsidRDefault="00FD7DEA" w:rsidP="00EA2BDB">
      <w:r>
        <w:separator/>
      </w:r>
    </w:p>
  </w:endnote>
  <w:endnote w:type="continuationSeparator" w:id="0">
    <w:p w:rsidR="00FD7DEA" w:rsidRDefault="00FD7DEA" w:rsidP="00EA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EA" w:rsidRDefault="00FD7DEA" w:rsidP="00EA2BDB">
      <w:r>
        <w:separator/>
      </w:r>
    </w:p>
  </w:footnote>
  <w:footnote w:type="continuationSeparator" w:id="0">
    <w:p w:rsidR="00FD7DEA" w:rsidRDefault="00FD7DEA" w:rsidP="00EA2BDB">
      <w:r>
        <w:continuationSeparator/>
      </w:r>
    </w:p>
  </w:footnote>
  <w:footnote w:id="1">
    <w:p w:rsidR="003801A0" w:rsidRPr="00EB7005" w:rsidRDefault="003801A0">
      <w:pPr>
        <w:pStyle w:val="Fotnotstext"/>
        <w:rPr>
          <w:lang w:val="en-US"/>
        </w:rPr>
      </w:pPr>
      <w:r>
        <w:rPr>
          <w:rStyle w:val="Fotnotsreferens"/>
        </w:rPr>
        <w:footnoteRef/>
      </w:r>
      <w:r>
        <w:t xml:space="preserve"> </w:t>
      </w:r>
      <w:r w:rsidR="009C4DEB">
        <w:rPr>
          <w:lang w:val="en-US"/>
        </w:rPr>
        <w:t>The Guardian,</w:t>
      </w:r>
      <w:r>
        <w:rPr>
          <w:lang w:val="en-US"/>
        </w:rPr>
        <w:t xml:space="preserve"> October</w:t>
      </w:r>
      <w:r w:rsidR="009C4DEB">
        <w:rPr>
          <w:lang w:val="en-US"/>
        </w:rPr>
        <w:t xml:space="preserve"> 27,</w:t>
      </w:r>
      <w:r>
        <w:rPr>
          <w:lang w:val="en-US"/>
        </w:rPr>
        <w:t xml:space="preserve"> 2014, </w:t>
      </w:r>
      <w:r w:rsidR="00CA04A0">
        <w:rPr>
          <w:lang w:val="en-US"/>
        </w:rPr>
        <w:t>[</w:t>
      </w:r>
      <w:hyperlink r:id="rId1" w:history="1">
        <w:r w:rsidR="00CA04A0">
          <w:rPr>
            <w:rStyle w:val="Hyperlnk"/>
            <w:lang w:val="en-US"/>
          </w:rPr>
          <w:t>Link</w:t>
        </w:r>
      </w:hyperlink>
      <w:r w:rsidR="00CA04A0">
        <w:rPr>
          <w:rStyle w:val="Hyperlnk"/>
          <w:lang w:val="en-US"/>
        </w:rPr>
        <w:t>]</w:t>
      </w:r>
      <w:r>
        <w:rPr>
          <w:lang w:val="en-US"/>
        </w:rPr>
        <w:t xml:space="preserve"> </w:t>
      </w:r>
    </w:p>
  </w:footnote>
  <w:footnote w:id="2">
    <w:p w:rsidR="003801A0" w:rsidRPr="00967EF5" w:rsidRDefault="003801A0" w:rsidP="003A2D18">
      <w:pPr>
        <w:pStyle w:val="Fotnotstext"/>
        <w:rPr>
          <w:lang w:val="en-US"/>
        </w:rPr>
      </w:pPr>
      <w:r>
        <w:rPr>
          <w:rStyle w:val="Fotnotsreferens"/>
        </w:rPr>
        <w:footnoteRef/>
      </w:r>
      <w:r>
        <w:t xml:space="preserve"> </w:t>
      </w:r>
      <w:r w:rsidR="009C4DEB">
        <w:rPr>
          <w:lang w:val="en-US"/>
        </w:rPr>
        <w:t>Novoye Vremya,</w:t>
      </w:r>
      <w:r>
        <w:rPr>
          <w:lang w:val="en-US"/>
        </w:rPr>
        <w:t xml:space="preserve"> October </w:t>
      </w:r>
      <w:r w:rsidR="009C4DEB">
        <w:rPr>
          <w:lang w:val="en-US"/>
        </w:rPr>
        <w:t xml:space="preserve">28, </w:t>
      </w:r>
      <w:r>
        <w:rPr>
          <w:lang w:val="en-US"/>
        </w:rPr>
        <w:t xml:space="preserve">2014, </w:t>
      </w:r>
      <w:r w:rsidR="00CA04A0">
        <w:rPr>
          <w:lang w:val="en-US"/>
        </w:rPr>
        <w:t>[</w:t>
      </w:r>
      <w:hyperlink r:id="rId2" w:history="1">
        <w:r w:rsidR="00CA04A0">
          <w:rPr>
            <w:rStyle w:val="Hyperlnk"/>
            <w:lang w:val="en-US"/>
          </w:rPr>
          <w:t>Link</w:t>
        </w:r>
      </w:hyperlink>
      <w:r w:rsidR="00CA04A0">
        <w:rPr>
          <w:rStyle w:val="Hyperlnk"/>
          <w:lang w:val="en-US"/>
        </w:rPr>
        <w:t>]</w:t>
      </w:r>
      <w:r>
        <w:rPr>
          <w:lang w:val="en-US"/>
        </w:rPr>
        <w:t xml:space="preserve"> </w:t>
      </w:r>
    </w:p>
  </w:footnote>
  <w:footnote w:id="3">
    <w:p w:rsidR="003801A0" w:rsidRPr="002C559B" w:rsidRDefault="003801A0">
      <w:pPr>
        <w:pStyle w:val="Fotnotstext"/>
        <w:rPr>
          <w:lang w:val="en-US"/>
        </w:rPr>
      </w:pPr>
      <w:r>
        <w:rPr>
          <w:rStyle w:val="Fotnotsreferens"/>
        </w:rPr>
        <w:footnoteRef/>
      </w:r>
      <w:r>
        <w:t xml:space="preserve"> </w:t>
      </w:r>
      <w:r>
        <w:rPr>
          <w:lang w:val="en-US"/>
        </w:rPr>
        <w:t>Foreign Affairs,</w:t>
      </w:r>
      <w:r w:rsidR="00994323">
        <w:rPr>
          <w:lang w:val="en-US"/>
        </w:rPr>
        <w:t xml:space="preserve"> Sept/Oct</w:t>
      </w:r>
      <w:r w:rsidR="00A26387">
        <w:rPr>
          <w:lang w:val="en-US"/>
        </w:rPr>
        <w:t xml:space="preserve"> 2014</w:t>
      </w:r>
      <w:r>
        <w:rPr>
          <w:lang w:val="en-US"/>
        </w:rPr>
        <w:t xml:space="preserve"> </w:t>
      </w:r>
      <w:r w:rsidR="00CA04A0">
        <w:rPr>
          <w:lang w:val="en-US"/>
        </w:rPr>
        <w:t>[</w:t>
      </w:r>
      <w:hyperlink r:id="rId3" w:history="1">
        <w:r w:rsidR="00CA04A0">
          <w:rPr>
            <w:rStyle w:val="Hyperlnk"/>
            <w:lang w:val="en-US"/>
          </w:rPr>
          <w:t>Link</w:t>
        </w:r>
      </w:hyperlink>
      <w:r w:rsidR="00CA04A0">
        <w:rPr>
          <w:rStyle w:val="Hyperlnk"/>
          <w:lang w:val="en-US"/>
        </w:rPr>
        <w:t>]</w:t>
      </w:r>
      <w:r>
        <w:rPr>
          <w:lang w:val="en-US"/>
        </w:rPr>
        <w:t xml:space="preserve"> </w:t>
      </w:r>
    </w:p>
  </w:footnote>
  <w:footnote w:id="4">
    <w:p w:rsidR="003801A0" w:rsidRPr="002C559B" w:rsidRDefault="003801A0" w:rsidP="002C559B">
      <w:pPr>
        <w:pStyle w:val="Fotnotstext"/>
        <w:rPr>
          <w:lang w:val="en-US"/>
        </w:rPr>
      </w:pPr>
      <w:r>
        <w:rPr>
          <w:rStyle w:val="Fotnotsreferens"/>
        </w:rPr>
        <w:footnoteRef/>
      </w:r>
      <w:r>
        <w:t xml:space="preserve"> </w:t>
      </w:r>
      <w:r w:rsidR="00994323">
        <w:rPr>
          <w:lang w:val="en-US"/>
        </w:rPr>
        <w:t>Ibid.</w:t>
      </w:r>
    </w:p>
  </w:footnote>
  <w:footnote w:id="5">
    <w:p w:rsidR="003801A0" w:rsidRPr="002C559B" w:rsidRDefault="003801A0">
      <w:pPr>
        <w:pStyle w:val="Fotnotstext"/>
        <w:rPr>
          <w:lang w:val="en-US"/>
        </w:rPr>
      </w:pPr>
      <w:r>
        <w:rPr>
          <w:rStyle w:val="Fotnotsreferens"/>
        </w:rPr>
        <w:footnoteRef/>
      </w:r>
      <w:r>
        <w:t xml:space="preserve"> </w:t>
      </w:r>
      <w:r w:rsidR="00994323">
        <w:rPr>
          <w:lang w:val="en-US"/>
        </w:rPr>
        <w:t>Ibid.</w:t>
      </w:r>
    </w:p>
  </w:footnote>
  <w:footnote w:id="6">
    <w:p w:rsidR="003801A0" w:rsidRPr="002C559B" w:rsidRDefault="003801A0">
      <w:pPr>
        <w:pStyle w:val="Fotnotstext"/>
        <w:rPr>
          <w:lang w:val="en-US"/>
        </w:rPr>
      </w:pPr>
      <w:r>
        <w:rPr>
          <w:rStyle w:val="Fotnotsreferens"/>
        </w:rPr>
        <w:footnoteRef/>
      </w:r>
      <w:r>
        <w:t xml:space="preserve"> </w:t>
      </w:r>
      <w:r w:rsidR="00994323">
        <w:rPr>
          <w:lang w:val="en-US"/>
        </w:rPr>
        <w:t>Ibid.</w:t>
      </w:r>
    </w:p>
  </w:footnote>
  <w:footnote w:id="7">
    <w:p w:rsidR="003801A0" w:rsidRPr="002C559B" w:rsidRDefault="003801A0">
      <w:pPr>
        <w:pStyle w:val="Fotnotstext"/>
        <w:rPr>
          <w:lang w:val="en-US"/>
        </w:rPr>
      </w:pPr>
      <w:r>
        <w:rPr>
          <w:rStyle w:val="Fotnotsreferens"/>
        </w:rPr>
        <w:footnoteRef/>
      </w:r>
      <w:r>
        <w:t xml:space="preserve"> </w:t>
      </w:r>
      <w:r>
        <w:rPr>
          <w:lang w:val="en-US"/>
        </w:rPr>
        <w:t>Bucharest Summit Declaration,</w:t>
      </w:r>
      <w:r w:rsidR="00994323">
        <w:rPr>
          <w:lang w:val="en-US"/>
        </w:rPr>
        <w:t xml:space="preserve"> April 3, 2008</w:t>
      </w:r>
      <w:r>
        <w:rPr>
          <w:lang w:val="en-US"/>
        </w:rPr>
        <w:t xml:space="preserve"> </w:t>
      </w:r>
      <w:r w:rsidR="00CA04A0">
        <w:rPr>
          <w:lang w:val="en-US"/>
        </w:rPr>
        <w:t>[</w:t>
      </w:r>
      <w:hyperlink r:id="rId4" w:history="1">
        <w:r w:rsidR="00CA04A0">
          <w:rPr>
            <w:rStyle w:val="Hyperlnk"/>
            <w:lang w:val="en-US"/>
          </w:rPr>
          <w:t>Link</w:t>
        </w:r>
      </w:hyperlink>
      <w:r w:rsidR="00CA04A0">
        <w:rPr>
          <w:lang w:val="en-US"/>
        </w:rPr>
        <w:t>]</w:t>
      </w:r>
    </w:p>
  </w:footnote>
  <w:footnote w:id="8">
    <w:p w:rsidR="003801A0" w:rsidRPr="002C559B" w:rsidRDefault="003801A0">
      <w:pPr>
        <w:pStyle w:val="Fotnotstext"/>
        <w:rPr>
          <w:lang w:val="en-US"/>
        </w:rPr>
      </w:pPr>
      <w:r>
        <w:rPr>
          <w:rStyle w:val="Fotnotsreferens"/>
        </w:rPr>
        <w:footnoteRef/>
      </w:r>
      <w:r>
        <w:t xml:space="preserve"> </w:t>
      </w:r>
      <w:r w:rsidR="00994323">
        <w:rPr>
          <w:lang w:val="en-US"/>
        </w:rPr>
        <w:t>European Union External Action</w:t>
      </w:r>
      <w:r>
        <w:rPr>
          <w:lang w:val="en-US"/>
        </w:rPr>
        <w:t xml:space="preserve"> </w:t>
      </w:r>
      <w:r w:rsidR="00CA04A0">
        <w:rPr>
          <w:lang w:val="en-US"/>
        </w:rPr>
        <w:t>[</w:t>
      </w:r>
      <w:hyperlink r:id="rId5" w:history="1">
        <w:r w:rsidR="00CA04A0">
          <w:rPr>
            <w:rStyle w:val="Hyperlnk"/>
            <w:lang w:val="en-US"/>
          </w:rPr>
          <w:t>Link</w:t>
        </w:r>
      </w:hyperlink>
      <w:r w:rsidR="00CA04A0">
        <w:rPr>
          <w:lang w:val="en-US"/>
        </w:rPr>
        <w:t>]</w:t>
      </w:r>
    </w:p>
  </w:footnote>
  <w:footnote w:id="9">
    <w:p w:rsidR="003801A0" w:rsidRPr="002C559B" w:rsidRDefault="003801A0">
      <w:pPr>
        <w:pStyle w:val="Fotnotstext"/>
        <w:rPr>
          <w:lang w:val="en-US"/>
        </w:rPr>
      </w:pPr>
      <w:r>
        <w:rPr>
          <w:rStyle w:val="Fotnotsreferens"/>
        </w:rPr>
        <w:footnoteRef/>
      </w:r>
      <w:r>
        <w:t xml:space="preserve"> </w:t>
      </w:r>
      <w:r w:rsidR="00994323">
        <w:rPr>
          <w:lang w:val="en-US"/>
        </w:rPr>
        <w:t>Russia in Global Affairs, August 22, 2014</w:t>
      </w:r>
      <w:r>
        <w:rPr>
          <w:lang w:val="en-US"/>
        </w:rPr>
        <w:t xml:space="preserve"> </w:t>
      </w:r>
      <w:r w:rsidR="00CA04A0">
        <w:rPr>
          <w:lang w:val="en-US"/>
        </w:rPr>
        <w:t>[</w:t>
      </w:r>
      <w:hyperlink r:id="rId6" w:history="1">
        <w:r w:rsidR="00CA04A0">
          <w:rPr>
            <w:rStyle w:val="Hyperlnk"/>
            <w:lang w:val="en-US"/>
          </w:rPr>
          <w:t>Link</w:t>
        </w:r>
      </w:hyperlink>
      <w:r w:rsidR="00CA04A0">
        <w:rPr>
          <w:rStyle w:val="Hyperlnk"/>
          <w:lang w:val="en-US"/>
        </w:rPr>
        <w:t>]</w:t>
      </w:r>
      <w:r>
        <w:rPr>
          <w:lang w:val="en-US"/>
        </w:rPr>
        <w:t xml:space="preserve"> </w:t>
      </w:r>
    </w:p>
  </w:footnote>
  <w:footnote w:id="10">
    <w:p w:rsidR="006A4EA8" w:rsidRPr="006A4EA8" w:rsidRDefault="006A4EA8">
      <w:pPr>
        <w:pStyle w:val="Fotnotstext"/>
        <w:rPr>
          <w:lang w:val="en-US"/>
        </w:rPr>
      </w:pPr>
      <w:r>
        <w:rPr>
          <w:rStyle w:val="Fotnotsreferens"/>
        </w:rPr>
        <w:footnoteRef/>
      </w:r>
      <w:r>
        <w:t xml:space="preserve"> </w:t>
      </w:r>
      <w:r>
        <w:rPr>
          <w:lang w:val="en-US"/>
        </w:rPr>
        <w:t xml:space="preserve">Foreign Affairs, </w:t>
      </w:r>
      <w:r w:rsidR="00994323">
        <w:rPr>
          <w:lang w:val="en-US"/>
        </w:rPr>
        <w:t>Sept/Oct, 2014</w:t>
      </w:r>
      <w:r w:rsidR="00CA04A0">
        <w:rPr>
          <w:lang w:val="en-US"/>
        </w:rPr>
        <w:t>[</w:t>
      </w:r>
      <w:hyperlink r:id="rId7" w:history="1">
        <w:r w:rsidR="00CA04A0">
          <w:rPr>
            <w:rStyle w:val="Hyperlnk"/>
            <w:lang w:val="en-US"/>
          </w:rPr>
          <w:t>Link</w:t>
        </w:r>
      </w:hyperlink>
      <w:r w:rsidR="00CA04A0">
        <w:rPr>
          <w:rStyle w:val="Hyperlnk"/>
          <w:lang w:val="en-US"/>
        </w:rPr>
        <w:t>]</w:t>
      </w:r>
    </w:p>
  </w:footnote>
  <w:footnote w:id="11">
    <w:p w:rsidR="006A4EA8" w:rsidRPr="006A4EA8" w:rsidRDefault="006A4EA8">
      <w:pPr>
        <w:pStyle w:val="Fotnotstext"/>
        <w:rPr>
          <w:lang w:val="en-US"/>
        </w:rPr>
      </w:pPr>
      <w:r>
        <w:rPr>
          <w:rStyle w:val="Fotnotsreferens"/>
        </w:rPr>
        <w:footnoteRef/>
      </w:r>
      <w:r>
        <w:t xml:space="preserve"> </w:t>
      </w:r>
      <w:r>
        <w:rPr>
          <w:lang w:val="en-US"/>
        </w:rPr>
        <w:t>Ibid.</w:t>
      </w:r>
    </w:p>
  </w:footnote>
  <w:footnote w:id="12">
    <w:p w:rsidR="006A4EA8" w:rsidRPr="006A4EA8" w:rsidRDefault="006A4EA8">
      <w:pPr>
        <w:pStyle w:val="Fotnotstext"/>
        <w:rPr>
          <w:lang w:val="en-US"/>
        </w:rPr>
      </w:pPr>
      <w:r>
        <w:rPr>
          <w:rStyle w:val="Fotnotsreferens"/>
        </w:rPr>
        <w:footnoteRef/>
      </w:r>
      <w:r>
        <w:t xml:space="preserve"> </w:t>
      </w:r>
      <w:r w:rsidR="00994323">
        <w:t xml:space="preserve">Carnegie Moscow Centre, June 30, 2014 </w:t>
      </w:r>
      <w:r w:rsidR="00CA04A0">
        <w:t>[</w:t>
      </w:r>
      <w:hyperlink r:id="rId8" w:history="1">
        <w:r w:rsidR="00CA04A0">
          <w:rPr>
            <w:rStyle w:val="Hyperlnk"/>
            <w:lang w:val="en-US"/>
          </w:rPr>
          <w:t>Link</w:t>
        </w:r>
      </w:hyperlink>
      <w:r w:rsidR="00CA04A0">
        <w:rPr>
          <w:rStyle w:val="Hyperlnk"/>
          <w:lang w:val="en-US"/>
        </w:rPr>
        <w:t>]</w:t>
      </w:r>
      <w:r>
        <w:rPr>
          <w:lang w:val="en-US"/>
        </w:rPr>
        <w:t xml:space="preserve">  </w:t>
      </w:r>
    </w:p>
  </w:footnote>
  <w:footnote w:id="13">
    <w:p w:rsidR="006A4EA8" w:rsidRPr="006A4EA8" w:rsidRDefault="006A4EA8">
      <w:pPr>
        <w:pStyle w:val="Fotnotstext"/>
        <w:rPr>
          <w:lang w:val="en-US"/>
        </w:rPr>
      </w:pPr>
      <w:r>
        <w:rPr>
          <w:rStyle w:val="Fotnotsreferens"/>
        </w:rPr>
        <w:footnoteRef/>
      </w:r>
      <w:r>
        <w:t xml:space="preserve"> </w:t>
      </w:r>
      <w:r>
        <w:rPr>
          <w:lang w:val="en-US"/>
        </w:rPr>
        <w:t>Ibid.</w:t>
      </w:r>
    </w:p>
  </w:footnote>
  <w:footnote w:id="14">
    <w:p w:rsidR="006A4EA8" w:rsidRPr="006A4EA8" w:rsidRDefault="006A4EA8" w:rsidP="006A4EA8">
      <w:pPr>
        <w:pStyle w:val="Fotnotstext"/>
        <w:ind w:left="0" w:firstLine="0"/>
        <w:rPr>
          <w:lang w:val="en-US"/>
        </w:rPr>
      </w:pPr>
      <w:r>
        <w:rPr>
          <w:rStyle w:val="Fotnotsreferens"/>
        </w:rPr>
        <w:footnoteRef/>
      </w:r>
      <w:r>
        <w:t xml:space="preserve"> Ibid.</w:t>
      </w:r>
    </w:p>
  </w:footnote>
  <w:footnote w:id="15">
    <w:p w:rsidR="00A9300D" w:rsidRPr="00A9300D" w:rsidRDefault="00A9300D">
      <w:pPr>
        <w:pStyle w:val="Fotnotstext"/>
        <w:rPr>
          <w:lang w:val="en-US"/>
        </w:rPr>
      </w:pPr>
      <w:r>
        <w:rPr>
          <w:rStyle w:val="Fotnotsreferens"/>
        </w:rPr>
        <w:footnoteRef/>
      </w:r>
      <w:r>
        <w:t xml:space="preserve"> </w:t>
      </w:r>
      <w:r>
        <w:rPr>
          <w:lang w:val="en-US"/>
        </w:rPr>
        <w:t>Ibid.</w:t>
      </w:r>
    </w:p>
  </w:footnote>
  <w:footnote w:id="16">
    <w:p w:rsidR="007770C4" w:rsidRPr="007770C4" w:rsidRDefault="007770C4" w:rsidP="007770C4">
      <w:pPr>
        <w:pStyle w:val="Fotnotstext"/>
        <w:rPr>
          <w:lang w:val="en-US"/>
        </w:rPr>
      </w:pPr>
      <w:r>
        <w:rPr>
          <w:rStyle w:val="Fotnotsreferens"/>
        </w:rPr>
        <w:footnoteRef/>
      </w:r>
      <w:r>
        <w:t xml:space="preserve"> </w:t>
      </w:r>
      <w:r>
        <w:rPr>
          <w:lang w:val="en-US"/>
        </w:rPr>
        <w:t>Foreign Affairs,</w:t>
      </w:r>
      <w:r w:rsidR="00994323">
        <w:rPr>
          <w:lang w:val="en-US"/>
        </w:rPr>
        <w:t xml:space="preserve"> Sept/Oct, 2014</w:t>
      </w:r>
      <w:r>
        <w:rPr>
          <w:lang w:val="en-US"/>
        </w:rPr>
        <w:t xml:space="preserve"> </w:t>
      </w:r>
      <w:r w:rsidR="00CA04A0">
        <w:rPr>
          <w:lang w:val="en-US"/>
        </w:rPr>
        <w:t>[</w:t>
      </w:r>
      <w:hyperlink r:id="rId9" w:history="1">
        <w:r w:rsidR="00CA04A0">
          <w:rPr>
            <w:rStyle w:val="Hyperlnk"/>
            <w:lang w:val="en-US"/>
          </w:rPr>
          <w:t>Link</w:t>
        </w:r>
      </w:hyperlink>
      <w:r w:rsidR="00CA04A0">
        <w:rPr>
          <w:rStyle w:val="Hyperlnk"/>
          <w:lang w:val="en-US"/>
        </w:rPr>
        <w:t>]</w:t>
      </w:r>
    </w:p>
  </w:footnote>
  <w:footnote w:id="17">
    <w:p w:rsidR="007770C4" w:rsidRPr="007770C4" w:rsidRDefault="007770C4">
      <w:pPr>
        <w:pStyle w:val="Fotnotstext"/>
        <w:rPr>
          <w:lang w:val="en-US"/>
        </w:rPr>
      </w:pPr>
      <w:r>
        <w:rPr>
          <w:rStyle w:val="Fotnotsreferens"/>
        </w:rPr>
        <w:footnoteRef/>
      </w:r>
      <w:r>
        <w:t xml:space="preserve"> </w:t>
      </w:r>
      <w:r w:rsidR="00994323">
        <w:rPr>
          <w:lang w:val="en-US"/>
        </w:rPr>
        <w:t>Foreign Affairs, Sept/Oct, 2014 [</w:t>
      </w:r>
      <w:hyperlink r:id="rId10" w:history="1">
        <w:r w:rsidR="00994323">
          <w:rPr>
            <w:rStyle w:val="Hyperlnk"/>
            <w:lang w:val="en-US"/>
          </w:rPr>
          <w:t>Link</w:t>
        </w:r>
      </w:hyperlink>
      <w:r w:rsidR="00994323">
        <w:rPr>
          <w:rStyle w:val="Hyperlnk"/>
          <w:lang w:val="en-US"/>
        </w:rPr>
        <w:t>]</w:t>
      </w:r>
    </w:p>
  </w:footnote>
  <w:footnote w:id="18">
    <w:p w:rsidR="007770C4" w:rsidRPr="007770C4" w:rsidRDefault="007770C4">
      <w:pPr>
        <w:pStyle w:val="Fotnotstext"/>
        <w:rPr>
          <w:lang w:val="en-US"/>
        </w:rPr>
      </w:pPr>
      <w:r>
        <w:rPr>
          <w:rStyle w:val="Fotnotsreferens"/>
        </w:rPr>
        <w:footnoteRef/>
      </w:r>
      <w:r>
        <w:t xml:space="preserve"> </w:t>
      </w:r>
      <w:r w:rsidR="00994323">
        <w:rPr>
          <w:lang w:val="en-US"/>
        </w:rPr>
        <w:t>Carnegie Endowment, May/Aug, 2014</w:t>
      </w:r>
      <w:r>
        <w:rPr>
          <w:lang w:val="en-US"/>
        </w:rPr>
        <w:t xml:space="preserve"> </w:t>
      </w:r>
      <w:r w:rsidR="00CA04A0">
        <w:rPr>
          <w:lang w:val="en-US"/>
        </w:rPr>
        <w:t>[</w:t>
      </w:r>
      <w:hyperlink r:id="rId11" w:history="1">
        <w:r w:rsidR="00CA04A0">
          <w:rPr>
            <w:rStyle w:val="Hyperlnk"/>
            <w:lang w:val="en-US"/>
          </w:rPr>
          <w:t>Link</w:t>
        </w:r>
      </w:hyperlink>
      <w:r w:rsidR="00CA04A0">
        <w:rPr>
          <w:rStyle w:val="Hyperlnk"/>
          <w:lang w:val="en-US"/>
        </w:rPr>
        <w:t>]</w:t>
      </w:r>
      <w:r>
        <w:rPr>
          <w:lang w:val="en-US"/>
        </w:rPr>
        <w:t xml:space="preserve"> </w:t>
      </w:r>
    </w:p>
  </w:footnote>
  <w:footnote w:id="19">
    <w:p w:rsidR="007770C4" w:rsidRPr="007770C4" w:rsidRDefault="007770C4">
      <w:pPr>
        <w:pStyle w:val="Fotnotstext"/>
        <w:rPr>
          <w:lang w:val="en-US"/>
        </w:rPr>
      </w:pPr>
      <w:r>
        <w:rPr>
          <w:rStyle w:val="Fotnotsreferens"/>
        </w:rPr>
        <w:footnoteRef/>
      </w:r>
      <w:r>
        <w:t xml:space="preserve"> </w:t>
      </w:r>
      <w:r>
        <w:rPr>
          <w:lang w:val="en-US"/>
        </w:rPr>
        <w:t>Ibid.</w:t>
      </w:r>
    </w:p>
  </w:footnote>
  <w:footnote w:id="20">
    <w:p w:rsidR="00995872" w:rsidRPr="00995872" w:rsidRDefault="00995872">
      <w:pPr>
        <w:pStyle w:val="Fotnotstext"/>
        <w:rPr>
          <w:lang w:val="en-US"/>
        </w:rPr>
      </w:pPr>
      <w:r>
        <w:rPr>
          <w:rStyle w:val="Fotnotsreferens"/>
        </w:rPr>
        <w:footnoteRef/>
      </w:r>
      <w:r>
        <w:t xml:space="preserve"> </w:t>
      </w:r>
      <w:r>
        <w:rPr>
          <w:lang w:val="en-US"/>
        </w:rPr>
        <w:t>Ibid.</w:t>
      </w:r>
    </w:p>
  </w:footnote>
  <w:footnote w:id="21">
    <w:p w:rsidR="00995872" w:rsidRPr="00995872" w:rsidRDefault="00995872">
      <w:pPr>
        <w:pStyle w:val="Fotnotstext"/>
        <w:rPr>
          <w:lang w:val="en-US"/>
        </w:rPr>
      </w:pPr>
      <w:r>
        <w:rPr>
          <w:rStyle w:val="Fotnotsreferens"/>
        </w:rPr>
        <w:footnoteRef/>
      </w:r>
      <w:r>
        <w:t xml:space="preserve"> </w:t>
      </w:r>
      <w:r w:rsidR="00994323">
        <w:rPr>
          <w:lang w:val="en-US"/>
        </w:rPr>
        <w:t>Carnegie Endowment, May/Aug, 2014 [</w:t>
      </w:r>
      <w:hyperlink r:id="rId12" w:history="1">
        <w:r w:rsidR="00994323">
          <w:rPr>
            <w:rStyle w:val="Hyperlnk"/>
            <w:lang w:val="en-US"/>
          </w:rPr>
          <w:t>Link</w:t>
        </w:r>
      </w:hyperlink>
      <w:r w:rsidR="00994323">
        <w:rPr>
          <w:rStyle w:val="Hyperlnk"/>
          <w:lang w:val="en-US"/>
        </w:rPr>
        <w:t>]</w:t>
      </w:r>
    </w:p>
  </w:footnote>
  <w:footnote w:id="22">
    <w:p w:rsidR="00995872" w:rsidRPr="00223826" w:rsidRDefault="00995872">
      <w:pPr>
        <w:pStyle w:val="Fotnotstext"/>
        <w:rPr>
          <w:lang w:val="sv-SE"/>
        </w:rPr>
      </w:pPr>
      <w:r>
        <w:rPr>
          <w:rStyle w:val="Fotnotsreferens"/>
        </w:rPr>
        <w:footnoteRef/>
      </w:r>
      <w:r w:rsidRPr="00223826">
        <w:rPr>
          <w:lang w:val="sv-SE"/>
        </w:rPr>
        <w:t xml:space="preserve"> Ibid.</w:t>
      </w:r>
    </w:p>
  </w:footnote>
  <w:footnote w:id="23">
    <w:p w:rsidR="00995872" w:rsidRPr="00223826" w:rsidRDefault="00995872">
      <w:pPr>
        <w:pStyle w:val="Fotnotstext"/>
        <w:rPr>
          <w:lang w:val="sv-SE"/>
        </w:rPr>
      </w:pPr>
      <w:r>
        <w:rPr>
          <w:rStyle w:val="Fotnotsreferens"/>
        </w:rPr>
        <w:footnoteRef/>
      </w:r>
      <w:r w:rsidRPr="00223826">
        <w:rPr>
          <w:lang w:val="sv-SE"/>
        </w:rPr>
        <w:t xml:space="preserve"> Ibid.</w:t>
      </w:r>
    </w:p>
  </w:footnote>
  <w:footnote w:id="24">
    <w:p w:rsidR="00995872" w:rsidRPr="00223826" w:rsidRDefault="00995872">
      <w:pPr>
        <w:pStyle w:val="Fotnotstext"/>
        <w:rPr>
          <w:lang w:val="sv-SE"/>
        </w:rPr>
      </w:pPr>
      <w:r>
        <w:rPr>
          <w:rStyle w:val="Fotnotsreferens"/>
        </w:rPr>
        <w:footnoteRef/>
      </w:r>
      <w:r w:rsidRPr="00223826">
        <w:rPr>
          <w:lang w:val="sv-SE"/>
        </w:rPr>
        <w:t xml:space="preserve"> Ibid.</w:t>
      </w:r>
    </w:p>
  </w:footnote>
  <w:footnote w:id="25">
    <w:p w:rsidR="00995872" w:rsidRPr="00223826" w:rsidRDefault="00995872">
      <w:pPr>
        <w:pStyle w:val="Fotnotstext"/>
        <w:rPr>
          <w:lang w:val="sv-SE"/>
        </w:rPr>
      </w:pPr>
      <w:r>
        <w:rPr>
          <w:rStyle w:val="Fotnotsreferens"/>
        </w:rPr>
        <w:footnoteRef/>
      </w:r>
      <w:r w:rsidRPr="00223826">
        <w:rPr>
          <w:lang w:val="sv-SE"/>
        </w:rPr>
        <w:t xml:space="preserve"> Ibid.</w:t>
      </w:r>
    </w:p>
  </w:footnote>
  <w:footnote w:id="26">
    <w:p w:rsidR="00464943" w:rsidRPr="00CA04A0" w:rsidRDefault="00464943" w:rsidP="00CA04A0">
      <w:pPr>
        <w:pStyle w:val="Fotnotstext"/>
        <w:rPr>
          <w:lang w:val="sv-SE"/>
        </w:rPr>
      </w:pPr>
      <w:r>
        <w:rPr>
          <w:rStyle w:val="Fotnotsreferens"/>
        </w:rPr>
        <w:footnoteRef/>
      </w:r>
      <w:r w:rsidRPr="00CA04A0">
        <w:rPr>
          <w:lang w:val="sv-SE"/>
        </w:rPr>
        <w:t xml:space="preserve"> </w:t>
      </w:r>
      <w:r>
        <w:rPr>
          <w:lang w:val="sv-SE"/>
        </w:rPr>
        <w:t xml:space="preserve">Ukrayinska Pravda, </w:t>
      </w:r>
      <w:r w:rsidRPr="00CA04A0">
        <w:rPr>
          <w:lang w:val="sv-SE"/>
        </w:rPr>
        <w:t>September</w:t>
      </w:r>
      <w:r>
        <w:rPr>
          <w:lang w:val="sv-SE"/>
        </w:rPr>
        <w:t xml:space="preserve"> 20, 2014</w:t>
      </w:r>
      <w:r w:rsidRPr="00CA04A0">
        <w:rPr>
          <w:lang w:val="sv-SE"/>
        </w:rPr>
        <w:t xml:space="preserve"> [</w:t>
      </w:r>
      <w:hyperlink r:id="rId13" w:history="1">
        <w:r w:rsidRPr="00CA04A0">
          <w:rPr>
            <w:rStyle w:val="Hyperlnk"/>
            <w:lang w:val="sv-SE"/>
          </w:rPr>
          <w:t>Link</w:t>
        </w:r>
      </w:hyperlink>
      <w:r w:rsidRPr="00CA04A0">
        <w:rPr>
          <w:lang w:val="sv-SE"/>
        </w:rPr>
        <w:t>]</w:t>
      </w:r>
    </w:p>
  </w:footnote>
  <w:footnote w:id="27">
    <w:p w:rsidR="007E438E" w:rsidRPr="00CA04A0" w:rsidRDefault="007E438E" w:rsidP="007E438E">
      <w:pPr>
        <w:pStyle w:val="Fotnotstext"/>
        <w:rPr>
          <w:lang w:val="sv-SE"/>
        </w:rPr>
      </w:pPr>
      <w:r>
        <w:rPr>
          <w:rStyle w:val="Fotnotsreferens"/>
        </w:rPr>
        <w:footnoteRef/>
      </w:r>
      <w:r w:rsidRPr="00CA04A0">
        <w:rPr>
          <w:lang w:val="sv-SE"/>
        </w:rPr>
        <w:t xml:space="preserve"> Verkhovna Rada Ukrayiny,</w:t>
      </w:r>
      <w:r w:rsidR="00994323">
        <w:rPr>
          <w:lang w:val="sv-SE"/>
        </w:rPr>
        <w:t xml:space="preserve"> September 16, 2014</w:t>
      </w:r>
      <w:r w:rsidRPr="00CA04A0">
        <w:rPr>
          <w:lang w:val="sv-SE"/>
        </w:rPr>
        <w:t xml:space="preserve"> </w:t>
      </w:r>
      <w:r w:rsidR="00CA04A0">
        <w:rPr>
          <w:lang w:val="sv-SE"/>
        </w:rPr>
        <w:t>[</w:t>
      </w:r>
      <w:hyperlink r:id="rId14" w:history="1">
        <w:r w:rsidR="00CA04A0">
          <w:rPr>
            <w:rStyle w:val="Hyperlnk"/>
            <w:lang w:val="sv-SE"/>
          </w:rPr>
          <w:t>Link</w:t>
        </w:r>
      </w:hyperlink>
      <w:r w:rsidR="00CA04A0" w:rsidRPr="00CA04A0">
        <w:rPr>
          <w:rStyle w:val="Hyperlnk"/>
          <w:lang w:val="sv-SE"/>
        </w:rPr>
        <w:t>]</w:t>
      </w:r>
      <w:r w:rsidRPr="00CA04A0">
        <w:rPr>
          <w:lang w:val="sv-SE"/>
        </w:rPr>
        <w:t xml:space="preserve"> </w:t>
      </w:r>
    </w:p>
  </w:footnote>
  <w:footnote w:id="28">
    <w:p w:rsidR="00624C29" w:rsidRPr="00223826" w:rsidRDefault="00624C29">
      <w:pPr>
        <w:pStyle w:val="Fotnotstext"/>
        <w:rPr>
          <w:lang w:val="sv-SE"/>
        </w:rPr>
      </w:pPr>
      <w:r>
        <w:rPr>
          <w:rStyle w:val="Fotnotsreferens"/>
        </w:rPr>
        <w:footnoteRef/>
      </w:r>
      <w:r w:rsidRPr="00223826">
        <w:rPr>
          <w:lang w:val="sv-SE"/>
        </w:rPr>
        <w:t xml:space="preserve"> </w:t>
      </w:r>
      <w:r w:rsidR="00994323" w:rsidRPr="00223826">
        <w:rPr>
          <w:lang w:val="sv-SE"/>
        </w:rPr>
        <w:t xml:space="preserve">Korrespondent.net, </w:t>
      </w:r>
      <w:r w:rsidRPr="00223826">
        <w:rPr>
          <w:lang w:val="sv-SE"/>
        </w:rPr>
        <w:t>October</w:t>
      </w:r>
      <w:r w:rsidR="00994323" w:rsidRPr="00223826">
        <w:rPr>
          <w:lang w:val="sv-SE"/>
        </w:rPr>
        <w:t xml:space="preserve"> 27, 2014</w:t>
      </w:r>
      <w:r w:rsidRPr="00223826">
        <w:rPr>
          <w:lang w:val="sv-SE"/>
        </w:rPr>
        <w:t xml:space="preserve"> </w:t>
      </w:r>
      <w:r w:rsidR="00CA04A0" w:rsidRPr="00223826">
        <w:rPr>
          <w:lang w:val="sv-SE"/>
        </w:rPr>
        <w:t>[</w:t>
      </w:r>
      <w:hyperlink r:id="rId15" w:history="1">
        <w:r w:rsidR="00CA04A0" w:rsidRPr="00223826">
          <w:rPr>
            <w:rStyle w:val="Hyperlnk"/>
            <w:lang w:val="sv-SE"/>
          </w:rPr>
          <w:t>Link</w:t>
        </w:r>
      </w:hyperlink>
      <w:r w:rsidR="00CA04A0" w:rsidRPr="00223826">
        <w:rPr>
          <w:rStyle w:val="Hyperlnk"/>
          <w:lang w:val="sv-SE"/>
        </w:rPr>
        <w:t>]</w:t>
      </w:r>
      <w:r w:rsidRPr="00223826">
        <w:rPr>
          <w:lang w:val="sv-SE"/>
        </w:rPr>
        <w:t xml:space="preserve"> </w:t>
      </w:r>
    </w:p>
  </w:footnote>
  <w:footnote w:id="29">
    <w:p w:rsidR="00624C29" w:rsidRPr="00223826" w:rsidRDefault="00624C29">
      <w:pPr>
        <w:pStyle w:val="Fotnotstext"/>
        <w:rPr>
          <w:lang w:val="sv-SE"/>
        </w:rPr>
      </w:pPr>
      <w:r>
        <w:rPr>
          <w:rStyle w:val="Fotnotsreferens"/>
        </w:rPr>
        <w:footnoteRef/>
      </w:r>
      <w:r w:rsidRPr="00223826">
        <w:rPr>
          <w:lang w:val="sv-SE"/>
        </w:rPr>
        <w:t xml:space="preserve"> </w:t>
      </w:r>
      <w:r w:rsidR="00CA04A0" w:rsidRPr="00223826">
        <w:rPr>
          <w:lang w:val="sv-SE"/>
        </w:rPr>
        <w:t>Ukrayinska Pravda</w:t>
      </w:r>
    </w:p>
  </w:footnote>
  <w:footnote w:id="30">
    <w:p w:rsidR="00624C29" w:rsidRPr="00624C29" w:rsidRDefault="00624C29">
      <w:pPr>
        <w:pStyle w:val="Fotnotstext"/>
        <w:rPr>
          <w:lang w:val="en-US"/>
        </w:rPr>
      </w:pPr>
      <w:r>
        <w:rPr>
          <w:rStyle w:val="Fotnotsreferens"/>
        </w:rPr>
        <w:footnoteRef/>
      </w:r>
      <w:r>
        <w:t xml:space="preserve"> </w:t>
      </w:r>
      <w:r>
        <w:rPr>
          <w:lang w:val="en-US"/>
        </w:rPr>
        <w:t>The Foreign Affairs Ministry of th</w:t>
      </w:r>
      <w:r w:rsidR="00994323">
        <w:rPr>
          <w:lang w:val="en-US"/>
        </w:rPr>
        <w:t>e Russian Federation, November 3, 2014</w:t>
      </w:r>
      <w:r>
        <w:rPr>
          <w:lang w:val="en-US"/>
        </w:rPr>
        <w:t xml:space="preserve"> </w:t>
      </w:r>
      <w:r w:rsidR="00CA04A0">
        <w:rPr>
          <w:lang w:val="en-US"/>
        </w:rPr>
        <w:t>[</w:t>
      </w:r>
      <w:hyperlink r:id="rId16" w:history="1">
        <w:r w:rsidR="00CA04A0">
          <w:rPr>
            <w:rStyle w:val="Hyperlnk"/>
            <w:lang w:val="en-US"/>
          </w:rPr>
          <w:t>Link</w:t>
        </w:r>
      </w:hyperlink>
      <w:r w:rsidR="00CA04A0">
        <w:rPr>
          <w:rStyle w:val="Hyperlnk"/>
          <w:lang w:val="en-US"/>
        </w:rPr>
        <w:t>]</w:t>
      </w:r>
      <w:r>
        <w:rPr>
          <w:lang w:val="en-US"/>
        </w:rPr>
        <w:t xml:space="preserve"> </w:t>
      </w:r>
    </w:p>
  </w:footnote>
  <w:footnote w:id="31">
    <w:p w:rsidR="00464943" w:rsidRPr="00D8549C" w:rsidRDefault="00464943">
      <w:pPr>
        <w:pStyle w:val="Fotnotstext"/>
        <w:rPr>
          <w:lang w:val="en-US"/>
        </w:rPr>
      </w:pPr>
      <w:r>
        <w:rPr>
          <w:rStyle w:val="Fotnotsreferens"/>
        </w:rPr>
        <w:footnoteRef/>
      </w:r>
      <w:r>
        <w:t xml:space="preserve"> </w:t>
      </w:r>
      <w:r>
        <w:rPr>
          <w:lang w:val="en-US"/>
        </w:rPr>
        <w:t>Carnegie Europe, October 31, 2014 [</w:t>
      </w:r>
      <w:hyperlink r:id="rId17" w:history="1">
        <w:r>
          <w:rPr>
            <w:rStyle w:val="Hyperlnk"/>
            <w:lang w:val="en-US"/>
          </w:rPr>
          <w:t>Link</w:t>
        </w:r>
      </w:hyperlink>
      <w:r>
        <w:rPr>
          <w:rStyle w:val="Hyperlnk"/>
          <w:lang w:val="en-US"/>
        </w:rPr>
        <w:t>]</w:t>
      </w:r>
      <w:r>
        <w:rPr>
          <w:lang w:val="en-US"/>
        </w:rPr>
        <w:t xml:space="preserve"> </w:t>
      </w:r>
    </w:p>
  </w:footnote>
  <w:footnote w:id="32">
    <w:p w:rsidR="00D8549C" w:rsidRPr="00D8549C" w:rsidRDefault="00D8549C">
      <w:pPr>
        <w:pStyle w:val="Fotnotstext"/>
        <w:rPr>
          <w:lang w:val="en-US"/>
        </w:rPr>
      </w:pPr>
      <w:r>
        <w:rPr>
          <w:rStyle w:val="Fotnotsreferens"/>
        </w:rPr>
        <w:footnoteRef/>
      </w:r>
      <w:r>
        <w:t xml:space="preserve"> </w:t>
      </w:r>
      <w:r>
        <w:rPr>
          <w:lang w:val="en-US"/>
        </w:rPr>
        <w:t>Ibid.</w:t>
      </w:r>
    </w:p>
  </w:footnote>
  <w:footnote w:id="33">
    <w:p w:rsidR="00D8549C" w:rsidRPr="00D8549C" w:rsidRDefault="00D8549C">
      <w:pPr>
        <w:pStyle w:val="Fotnotstext"/>
        <w:rPr>
          <w:lang w:val="en-US"/>
        </w:rPr>
      </w:pPr>
      <w:r>
        <w:rPr>
          <w:rStyle w:val="Fotnotsreferens"/>
        </w:rPr>
        <w:footnoteRef/>
      </w:r>
      <w:r>
        <w:t xml:space="preserve"> </w:t>
      </w:r>
      <w:r>
        <w:rPr>
          <w:lang w:val="en-US"/>
        </w:rPr>
        <w:t>Ibid.</w:t>
      </w:r>
    </w:p>
  </w:footnote>
  <w:footnote w:id="34">
    <w:p w:rsidR="0034516C" w:rsidRPr="0034516C" w:rsidRDefault="0034516C">
      <w:pPr>
        <w:pStyle w:val="Fotnotstext"/>
        <w:rPr>
          <w:lang w:val="en-US"/>
        </w:rPr>
      </w:pPr>
      <w:r>
        <w:rPr>
          <w:rStyle w:val="Fotnotsreferens"/>
        </w:rPr>
        <w:footnoteRef/>
      </w:r>
      <w:r>
        <w:t xml:space="preserve"> </w:t>
      </w:r>
      <w:r w:rsidR="0001334A">
        <w:rPr>
          <w:lang w:val="en-US"/>
        </w:rPr>
        <w:t>Carnegie Europe</w:t>
      </w:r>
      <w:r w:rsidR="00CA04A0">
        <w:rPr>
          <w:lang w:val="en-US"/>
        </w:rPr>
        <w:t>,</w:t>
      </w:r>
      <w:r w:rsidR="0001334A">
        <w:rPr>
          <w:lang w:val="en-US"/>
        </w:rPr>
        <w:t xml:space="preserve"> October 31, 2014</w:t>
      </w:r>
      <w:r w:rsidR="00CA04A0">
        <w:rPr>
          <w:lang w:val="en-US"/>
        </w:rPr>
        <w:t xml:space="preserve"> [</w:t>
      </w:r>
      <w:hyperlink r:id="rId18" w:history="1">
        <w:r w:rsidR="00CA04A0">
          <w:rPr>
            <w:rStyle w:val="Hyperlnk"/>
            <w:lang w:val="en-US"/>
          </w:rPr>
          <w:t>Link</w:t>
        </w:r>
      </w:hyperlink>
      <w:r w:rsidR="00CA04A0">
        <w:rPr>
          <w:rStyle w:val="Hyperlnk"/>
          <w:lang w:val="en-US"/>
        </w:rPr>
        <w:t>]</w:t>
      </w:r>
    </w:p>
  </w:footnote>
  <w:footnote w:id="35">
    <w:p w:rsidR="0034516C" w:rsidRPr="0034516C" w:rsidRDefault="0034516C">
      <w:pPr>
        <w:pStyle w:val="Fotnotstext"/>
        <w:rPr>
          <w:lang w:val="en-US"/>
        </w:rPr>
      </w:pPr>
      <w:r>
        <w:rPr>
          <w:rStyle w:val="Fotnotsreferens"/>
        </w:rPr>
        <w:footnoteRef/>
      </w:r>
      <w:r>
        <w:t xml:space="preserve"> </w:t>
      </w:r>
      <w:r>
        <w:rPr>
          <w:lang w:val="en-US"/>
        </w:rPr>
        <w:t>Ibid.</w:t>
      </w:r>
    </w:p>
  </w:footnote>
  <w:footnote w:id="36">
    <w:p w:rsidR="0034516C" w:rsidRPr="0034516C" w:rsidRDefault="0034516C">
      <w:pPr>
        <w:pStyle w:val="Fotnotstext"/>
        <w:rPr>
          <w:lang w:val="en-US"/>
        </w:rPr>
      </w:pPr>
      <w:r>
        <w:rPr>
          <w:rStyle w:val="Fotnotsreferens"/>
        </w:rPr>
        <w:footnoteRef/>
      </w:r>
      <w:r>
        <w:t xml:space="preserve"> </w:t>
      </w:r>
      <w:r>
        <w:rPr>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A0" w:rsidRDefault="003801A0">
    <w:pPr>
      <w:pStyle w:val="Sidhuvud"/>
    </w:pPr>
    <w:r>
      <w:rPr>
        <w:rFonts w:ascii="Cambria" w:hAnsi="Cambria" w:cs="Cambria"/>
        <w:b/>
        <w:bCs/>
        <w:sz w:val="30"/>
        <w:szCs w:val="30"/>
      </w:rPr>
      <w:t>Policy Briefing</w:t>
    </w:r>
    <w:r>
      <w:rPr>
        <w:noProof/>
        <w:lang w:eastAsia="en-GB" w:bidi="ar-SA"/>
      </w:rPr>
      <w:drawing>
        <wp:anchor distT="0" distB="0" distL="0" distR="0" simplePos="0" relativeHeight="251658752" behindDoc="0" locked="0" layoutInCell="1" allowOverlap="1" wp14:anchorId="180B6720" wp14:editId="087FF831">
          <wp:simplePos x="0" y="0"/>
          <wp:positionH relativeFrom="column">
            <wp:posOffset>4682490</wp:posOffset>
          </wp:positionH>
          <wp:positionV relativeFrom="paragraph">
            <wp:posOffset>-33655</wp:posOffset>
          </wp:positionV>
          <wp:extent cx="1436370" cy="87122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6370" cy="871220"/>
                  </a:xfrm>
                  <a:prstGeom prst="rect">
                    <a:avLst/>
                  </a:prstGeom>
                  <a:solidFill>
                    <a:srgbClr val="FFFFFF"/>
                  </a:solidFill>
                  <a:ln w="9525">
                    <a:noFill/>
                    <a:miter lim="800000"/>
                    <a:headEnd/>
                    <a:tailEnd/>
                  </a:ln>
                </pic:spPr>
              </pic:pic>
            </a:graphicData>
          </a:graphic>
        </wp:anchor>
      </w:drawing>
    </w:r>
  </w:p>
  <w:p w:rsidR="003801A0" w:rsidRDefault="00CA04A0">
    <w:pPr>
      <w:pStyle w:val="Sidhuvud"/>
      <w:rPr>
        <w:rFonts w:ascii="Cambria" w:hAnsi="Cambria" w:cs="Cambria"/>
        <w:b/>
        <w:bCs/>
        <w:sz w:val="20"/>
        <w:szCs w:val="20"/>
      </w:rPr>
    </w:pPr>
    <w:r>
      <w:rPr>
        <w:noProof/>
        <w:lang w:eastAsia="en-GB" w:bidi="ar-SA"/>
      </w:rPr>
      <mc:AlternateContent>
        <mc:Choice Requires="wps">
          <w:drawing>
            <wp:anchor distT="0" distB="0" distL="114300" distR="114300" simplePos="0" relativeHeight="251656704" behindDoc="1" locked="0" layoutInCell="1" allowOverlap="1">
              <wp:simplePos x="0" y="0"/>
              <wp:positionH relativeFrom="column">
                <wp:posOffset>1270</wp:posOffset>
              </wp:positionH>
              <wp:positionV relativeFrom="paragraph">
                <wp:posOffset>76200</wp:posOffset>
              </wp:positionV>
              <wp:extent cx="3068320" cy="635"/>
              <wp:effectExtent l="10795" t="9525" r="6985"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635"/>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" strokecolor="gray" strokeweight=".26mm"/>
          </w:pict>
        </mc:Fallback>
      </mc:AlternateContent>
    </w:r>
  </w:p>
  <w:p w:rsidR="003801A0" w:rsidRDefault="003A2D18">
    <w:pPr>
      <w:pStyle w:val="Sidhuvud"/>
      <w:rPr>
        <w:rFonts w:ascii="Cambria" w:hAnsi="Cambria" w:cs="Cambria"/>
        <w:b/>
        <w:bCs/>
        <w:sz w:val="8"/>
        <w:szCs w:val="8"/>
      </w:rPr>
    </w:pPr>
    <w:r>
      <w:rPr>
        <w:rFonts w:ascii="Cambria" w:hAnsi="Cambria" w:cs="Cambria"/>
        <w:b/>
        <w:bCs/>
        <w:sz w:val="22"/>
        <w:szCs w:val="22"/>
      </w:rPr>
      <w:t>Issue 11 -No. 1</w:t>
    </w:r>
  </w:p>
  <w:p w:rsidR="003801A0" w:rsidRDefault="003801A0">
    <w:pPr>
      <w:pStyle w:val="Sidhuvud"/>
      <w:rPr>
        <w:rFonts w:ascii="Cambria" w:hAnsi="Cambria" w:cs="Cambria"/>
        <w:b/>
        <w:bCs/>
        <w:sz w:val="8"/>
        <w:szCs w:val="8"/>
      </w:rPr>
    </w:pPr>
  </w:p>
  <w:p w:rsidR="003801A0" w:rsidRDefault="00223826">
    <w:pPr>
      <w:pStyle w:val="Sidhuvud"/>
    </w:pPr>
    <w:r>
      <w:rPr>
        <w:rFonts w:ascii="Cambria" w:hAnsi="Cambria" w:cs="Cambria"/>
        <w:i/>
        <w:iCs/>
        <w:sz w:val="22"/>
        <w:szCs w:val="22"/>
      </w:rPr>
      <w:t>6</w:t>
    </w:r>
    <w:r w:rsidR="00414A27">
      <w:rPr>
        <w:rFonts w:ascii="Cambria" w:hAnsi="Cambria" w:cs="Cambria"/>
        <w:i/>
        <w:iCs/>
        <w:sz w:val="22"/>
        <w:szCs w:val="22"/>
      </w:rPr>
      <w:t xml:space="preserve"> November </w:t>
    </w:r>
    <w:r w:rsidR="003801A0">
      <w:rPr>
        <w:rFonts w:ascii="Cambria" w:hAnsi="Cambria" w:cs="Cambria"/>
        <w:i/>
        <w:iCs/>
        <w:sz w:val="22"/>
        <w:szCs w:val="22"/>
      </w:rPr>
      <w:t>2014</w:t>
    </w:r>
  </w:p>
  <w:p w:rsidR="003801A0" w:rsidRDefault="00CA04A0">
    <w:pPr>
      <w:pStyle w:val="Sidhuvud"/>
      <w:rPr>
        <w:sz w:val="10"/>
        <w:szCs w:val="10"/>
      </w:rPr>
    </w:pPr>
    <w:r>
      <w:rPr>
        <w:noProof/>
        <w:lang w:eastAsia="en-GB" w:bidi="ar-SA"/>
      </w:rPr>
      <mc:AlternateContent>
        <mc:Choice Requires="wps">
          <w:drawing>
            <wp:anchor distT="0" distB="0" distL="114300" distR="114300" simplePos="0" relativeHeight="251657728" behindDoc="1" locked="0" layoutInCell="1" allowOverlap="1">
              <wp:simplePos x="0" y="0"/>
              <wp:positionH relativeFrom="column">
                <wp:posOffset>1270</wp:posOffset>
              </wp:positionH>
              <wp:positionV relativeFrom="paragraph">
                <wp:posOffset>76200</wp:posOffset>
              </wp:positionV>
              <wp:extent cx="3055620" cy="635"/>
              <wp:effectExtent l="10795" t="9525" r="1016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635"/>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" strokecolor="gray" strokeweight=".26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616"/>
    <w:multiLevelType w:val="hybridMultilevel"/>
    <w:tmpl w:val="4EDA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57A9F"/>
    <w:multiLevelType w:val="hybridMultilevel"/>
    <w:tmpl w:val="61A2D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F7433"/>
    <w:multiLevelType w:val="hybridMultilevel"/>
    <w:tmpl w:val="248C7A5A"/>
    <w:lvl w:ilvl="0" w:tplc="A524DDD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39010B6F"/>
    <w:multiLevelType w:val="hybridMultilevel"/>
    <w:tmpl w:val="A314B5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4089031A"/>
    <w:multiLevelType w:val="hybridMultilevel"/>
    <w:tmpl w:val="342E54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458E1A51"/>
    <w:multiLevelType w:val="hybridMultilevel"/>
    <w:tmpl w:val="FAC02606"/>
    <w:lvl w:ilvl="0" w:tplc="080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5EAC4053"/>
    <w:multiLevelType w:val="hybridMultilevel"/>
    <w:tmpl w:val="F3D6EE0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6B6E278C"/>
    <w:multiLevelType w:val="hybridMultilevel"/>
    <w:tmpl w:val="BE4855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7F"/>
    <w:rsid w:val="0001334A"/>
    <w:rsid w:val="00016B97"/>
    <w:rsid w:val="000231E5"/>
    <w:rsid w:val="000477B2"/>
    <w:rsid w:val="00051392"/>
    <w:rsid w:val="00062D4B"/>
    <w:rsid w:val="00075419"/>
    <w:rsid w:val="000D7E18"/>
    <w:rsid w:val="001225FF"/>
    <w:rsid w:val="001B0630"/>
    <w:rsid w:val="001C7205"/>
    <w:rsid w:val="001D521D"/>
    <w:rsid w:val="00211438"/>
    <w:rsid w:val="00213C16"/>
    <w:rsid w:val="00223826"/>
    <w:rsid w:val="002320DB"/>
    <w:rsid w:val="002378A3"/>
    <w:rsid w:val="00280FBA"/>
    <w:rsid w:val="002C559B"/>
    <w:rsid w:val="002D37D1"/>
    <w:rsid w:val="002D47C4"/>
    <w:rsid w:val="002F7DD2"/>
    <w:rsid w:val="00304113"/>
    <w:rsid w:val="00312079"/>
    <w:rsid w:val="00323832"/>
    <w:rsid w:val="0034516C"/>
    <w:rsid w:val="003801A0"/>
    <w:rsid w:val="003A2D18"/>
    <w:rsid w:val="003D1344"/>
    <w:rsid w:val="003D19C0"/>
    <w:rsid w:val="00414A27"/>
    <w:rsid w:val="00450C55"/>
    <w:rsid w:val="004528CC"/>
    <w:rsid w:val="004571A0"/>
    <w:rsid w:val="00464943"/>
    <w:rsid w:val="004A67AE"/>
    <w:rsid w:val="004D140D"/>
    <w:rsid w:val="004D786D"/>
    <w:rsid w:val="004E2B27"/>
    <w:rsid w:val="004E5792"/>
    <w:rsid w:val="0053785E"/>
    <w:rsid w:val="0057728F"/>
    <w:rsid w:val="005B6BBD"/>
    <w:rsid w:val="005C1197"/>
    <w:rsid w:val="005C764C"/>
    <w:rsid w:val="005D1282"/>
    <w:rsid w:val="00624C29"/>
    <w:rsid w:val="00633C2F"/>
    <w:rsid w:val="006417B6"/>
    <w:rsid w:val="006453F8"/>
    <w:rsid w:val="00667FA5"/>
    <w:rsid w:val="0069015D"/>
    <w:rsid w:val="006A1911"/>
    <w:rsid w:val="006A4EA8"/>
    <w:rsid w:val="006B0FC0"/>
    <w:rsid w:val="006F6DA2"/>
    <w:rsid w:val="007411C6"/>
    <w:rsid w:val="007539F8"/>
    <w:rsid w:val="00753D25"/>
    <w:rsid w:val="007770C4"/>
    <w:rsid w:val="00797FCE"/>
    <w:rsid w:val="007A627C"/>
    <w:rsid w:val="007C12AF"/>
    <w:rsid w:val="007C411C"/>
    <w:rsid w:val="007C537E"/>
    <w:rsid w:val="007E438E"/>
    <w:rsid w:val="007F511E"/>
    <w:rsid w:val="0082650F"/>
    <w:rsid w:val="008711A4"/>
    <w:rsid w:val="008A0A62"/>
    <w:rsid w:val="008A350D"/>
    <w:rsid w:val="008B0DE4"/>
    <w:rsid w:val="008D747D"/>
    <w:rsid w:val="008E0FF2"/>
    <w:rsid w:val="008F52F7"/>
    <w:rsid w:val="008F61FB"/>
    <w:rsid w:val="00967EF5"/>
    <w:rsid w:val="00994323"/>
    <w:rsid w:val="00995872"/>
    <w:rsid w:val="009A2E89"/>
    <w:rsid w:val="009C4DEB"/>
    <w:rsid w:val="009D0F39"/>
    <w:rsid w:val="00A01487"/>
    <w:rsid w:val="00A26387"/>
    <w:rsid w:val="00A40B79"/>
    <w:rsid w:val="00A47181"/>
    <w:rsid w:val="00A563AE"/>
    <w:rsid w:val="00A9300D"/>
    <w:rsid w:val="00AA63FF"/>
    <w:rsid w:val="00AE1863"/>
    <w:rsid w:val="00AF2AA3"/>
    <w:rsid w:val="00B16A52"/>
    <w:rsid w:val="00B4501F"/>
    <w:rsid w:val="00B536E5"/>
    <w:rsid w:val="00BB73A0"/>
    <w:rsid w:val="00BC46C5"/>
    <w:rsid w:val="00BE7CBE"/>
    <w:rsid w:val="00BF1654"/>
    <w:rsid w:val="00BF7773"/>
    <w:rsid w:val="00C25D34"/>
    <w:rsid w:val="00C41033"/>
    <w:rsid w:val="00C41F03"/>
    <w:rsid w:val="00C47E31"/>
    <w:rsid w:val="00C525C5"/>
    <w:rsid w:val="00C80AE5"/>
    <w:rsid w:val="00CA04A0"/>
    <w:rsid w:val="00CA1415"/>
    <w:rsid w:val="00CE0E99"/>
    <w:rsid w:val="00CF2D7A"/>
    <w:rsid w:val="00D3529B"/>
    <w:rsid w:val="00D61CCB"/>
    <w:rsid w:val="00D636FD"/>
    <w:rsid w:val="00D64B6B"/>
    <w:rsid w:val="00D67A65"/>
    <w:rsid w:val="00D7582C"/>
    <w:rsid w:val="00D85343"/>
    <w:rsid w:val="00D8549C"/>
    <w:rsid w:val="00DD4F97"/>
    <w:rsid w:val="00E150C2"/>
    <w:rsid w:val="00E213EF"/>
    <w:rsid w:val="00E253BA"/>
    <w:rsid w:val="00E525A2"/>
    <w:rsid w:val="00E52BE7"/>
    <w:rsid w:val="00E65830"/>
    <w:rsid w:val="00EA2BDB"/>
    <w:rsid w:val="00EA41CE"/>
    <w:rsid w:val="00EA47BD"/>
    <w:rsid w:val="00EB16DF"/>
    <w:rsid w:val="00EB6098"/>
    <w:rsid w:val="00EB7005"/>
    <w:rsid w:val="00EE794A"/>
    <w:rsid w:val="00EF7680"/>
    <w:rsid w:val="00F0307F"/>
    <w:rsid w:val="00F44380"/>
    <w:rsid w:val="00F53C53"/>
    <w:rsid w:val="00F63F69"/>
    <w:rsid w:val="00F74B41"/>
    <w:rsid w:val="00F8478A"/>
    <w:rsid w:val="00FA6785"/>
    <w:rsid w:val="00FD78E1"/>
    <w:rsid w:val="00FD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9"/>
    <w:pPr>
      <w:widowControl w:val="0"/>
      <w:suppressAutoHyphens/>
    </w:pPr>
    <w:rPr>
      <w:rFonts w:eastAsia="SimSun" w:cs="Mangal"/>
      <w:kern w:val="1"/>
      <w:sz w:val="24"/>
      <w:szCs w:val="24"/>
      <w:lang w:val="en-GB"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ndnoteCharacters">
    <w:name w:val="Endnote Characters"/>
    <w:rsid w:val="009D0F39"/>
    <w:rPr>
      <w:vertAlign w:val="superscript"/>
    </w:rPr>
  </w:style>
  <w:style w:type="character" w:customStyle="1" w:styleId="WW-EndnoteCharacters">
    <w:name w:val="WW-Endnote Characters"/>
    <w:rsid w:val="009D0F39"/>
    <w:rPr>
      <w:vertAlign w:val="superscript"/>
    </w:rPr>
  </w:style>
  <w:style w:type="character" w:styleId="Hyperlnk">
    <w:name w:val="Hyperlink"/>
    <w:rsid w:val="009D0F39"/>
    <w:rPr>
      <w:color w:val="000080"/>
      <w:u w:val="single"/>
    </w:rPr>
  </w:style>
  <w:style w:type="character" w:customStyle="1" w:styleId="FootnoteCharacters">
    <w:name w:val="Footnote Characters"/>
    <w:rsid w:val="009D0F39"/>
    <w:rPr>
      <w:vertAlign w:val="superscript"/>
    </w:rPr>
  </w:style>
  <w:style w:type="character" w:customStyle="1" w:styleId="WW-FootnoteCharacters">
    <w:name w:val="WW-Footnote Characters"/>
    <w:rsid w:val="009D0F39"/>
  </w:style>
  <w:style w:type="character" w:styleId="Fotnotsreferens">
    <w:name w:val="footnote reference"/>
    <w:rsid w:val="009D0F39"/>
    <w:rPr>
      <w:vertAlign w:val="superscript"/>
    </w:rPr>
  </w:style>
  <w:style w:type="character" w:styleId="Slutkommentarsreferens">
    <w:name w:val="endnote reference"/>
    <w:rsid w:val="009D0F39"/>
    <w:rPr>
      <w:vertAlign w:val="superscript"/>
    </w:rPr>
  </w:style>
  <w:style w:type="character" w:customStyle="1" w:styleId="1">
    <w:name w:val="Знак сноски1"/>
    <w:rsid w:val="009D0F39"/>
    <w:rPr>
      <w:vertAlign w:val="superscript"/>
    </w:rPr>
  </w:style>
  <w:style w:type="paragraph" w:customStyle="1" w:styleId="Heading">
    <w:name w:val="Heading"/>
    <w:basedOn w:val="Normal"/>
    <w:next w:val="Brdtext"/>
    <w:rsid w:val="009D0F39"/>
    <w:pPr>
      <w:keepNext/>
      <w:spacing w:before="240" w:after="120"/>
    </w:pPr>
    <w:rPr>
      <w:rFonts w:ascii="Arial" w:eastAsia="Microsoft YaHei" w:hAnsi="Arial"/>
      <w:sz w:val="28"/>
      <w:szCs w:val="28"/>
    </w:rPr>
  </w:style>
  <w:style w:type="paragraph" w:styleId="Brdtext">
    <w:name w:val="Body Text"/>
    <w:basedOn w:val="Normal"/>
    <w:rsid w:val="009D0F39"/>
    <w:pPr>
      <w:spacing w:after="120"/>
    </w:pPr>
  </w:style>
  <w:style w:type="paragraph" w:styleId="Lista">
    <w:name w:val="List"/>
    <w:basedOn w:val="Brdtext"/>
    <w:rsid w:val="009D0F39"/>
  </w:style>
  <w:style w:type="paragraph" w:customStyle="1" w:styleId="Beskrivning1">
    <w:name w:val="Beskrivning1"/>
    <w:basedOn w:val="Normal"/>
    <w:rsid w:val="009D0F39"/>
    <w:pPr>
      <w:suppressLineNumbers/>
      <w:spacing w:before="120" w:after="120"/>
    </w:pPr>
    <w:rPr>
      <w:i/>
      <w:iCs/>
    </w:rPr>
  </w:style>
  <w:style w:type="paragraph" w:customStyle="1" w:styleId="Index">
    <w:name w:val="Index"/>
    <w:basedOn w:val="Normal"/>
    <w:rsid w:val="009D0F39"/>
    <w:pPr>
      <w:suppressLineNumbers/>
    </w:pPr>
  </w:style>
  <w:style w:type="paragraph" w:styleId="Sidhuvud">
    <w:name w:val="header"/>
    <w:basedOn w:val="Normal"/>
    <w:rsid w:val="009D0F39"/>
    <w:pPr>
      <w:suppressLineNumbers/>
      <w:tabs>
        <w:tab w:val="center" w:pos="4819"/>
        <w:tab w:val="right" w:pos="9638"/>
      </w:tabs>
    </w:pPr>
  </w:style>
  <w:style w:type="paragraph" w:styleId="Slutkommentar">
    <w:name w:val="endnote text"/>
    <w:basedOn w:val="Normal"/>
    <w:rsid w:val="009D0F39"/>
    <w:pPr>
      <w:suppressLineNumbers/>
      <w:ind w:left="283" w:hanging="283"/>
    </w:pPr>
    <w:rPr>
      <w:sz w:val="20"/>
      <w:szCs w:val="20"/>
    </w:rPr>
  </w:style>
  <w:style w:type="paragraph" w:customStyle="1" w:styleId="10">
    <w:name w:val="Обычный (веб)1"/>
    <w:basedOn w:val="Normal"/>
    <w:rsid w:val="009D0F39"/>
    <w:pPr>
      <w:spacing w:before="28" w:after="28" w:line="100" w:lineRule="atLeast"/>
    </w:pPr>
    <w:rPr>
      <w:rFonts w:eastAsia="Times New Roman" w:cs="Times New Roman"/>
    </w:rPr>
  </w:style>
  <w:style w:type="paragraph" w:styleId="Fotnotstext">
    <w:name w:val="footnote text"/>
    <w:basedOn w:val="Normal"/>
    <w:rsid w:val="009D0F39"/>
    <w:pPr>
      <w:suppressLineNumbers/>
      <w:ind w:left="283" w:hanging="283"/>
    </w:pPr>
    <w:rPr>
      <w:sz w:val="20"/>
      <w:szCs w:val="20"/>
    </w:rPr>
  </w:style>
  <w:style w:type="paragraph" w:styleId="Sidfot">
    <w:name w:val="footer"/>
    <w:basedOn w:val="Normal"/>
    <w:rsid w:val="009D0F39"/>
    <w:pPr>
      <w:suppressLineNumbers/>
      <w:tabs>
        <w:tab w:val="center" w:pos="4819"/>
        <w:tab w:val="right" w:pos="9638"/>
      </w:tabs>
    </w:pPr>
  </w:style>
  <w:style w:type="paragraph" w:customStyle="1" w:styleId="11">
    <w:name w:val="Текст концевой сноски1"/>
    <w:basedOn w:val="Normal"/>
    <w:rsid w:val="009D0F39"/>
    <w:pPr>
      <w:suppressLineNumbers/>
      <w:ind w:left="283" w:hanging="283"/>
    </w:pPr>
    <w:rPr>
      <w:sz w:val="20"/>
      <w:szCs w:val="20"/>
    </w:rPr>
  </w:style>
  <w:style w:type="paragraph" w:customStyle="1" w:styleId="12">
    <w:name w:val="Текст сноски1"/>
    <w:basedOn w:val="Normal"/>
    <w:rsid w:val="009D0F39"/>
    <w:pPr>
      <w:spacing w:line="100" w:lineRule="atLeast"/>
    </w:pPr>
    <w:rPr>
      <w:sz w:val="20"/>
      <w:szCs w:val="20"/>
    </w:rPr>
  </w:style>
  <w:style w:type="paragraph" w:styleId="Liststycke">
    <w:name w:val="List Paragraph"/>
    <w:basedOn w:val="Normal"/>
    <w:uiPriority w:val="34"/>
    <w:qFormat/>
    <w:rsid w:val="00BB73A0"/>
    <w:pPr>
      <w:ind w:left="720"/>
      <w:contextualSpacing/>
    </w:pPr>
    <w:rPr>
      <w:szCs w:val="21"/>
    </w:rPr>
  </w:style>
  <w:style w:type="character" w:styleId="AnvndHyperlnk">
    <w:name w:val="FollowedHyperlink"/>
    <w:basedOn w:val="Standardstycketeckensnitt"/>
    <w:uiPriority w:val="99"/>
    <w:semiHidden/>
    <w:unhideWhenUsed/>
    <w:rsid w:val="00A263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9"/>
    <w:pPr>
      <w:widowControl w:val="0"/>
      <w:suppressAutoHyphens/>
    </w:pPr>
    <w:rPr>
      <w:rFonts w:eastAsia="SimSun" w:cs="Mangal"/>
      <w:kern w:val="1"/>
      <w:sz w:val="24"/>
      <w:szCs w:val="24"/>
      <w:lang w:val="en-GB"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ndnoteCharacters">
    <w:name w:val="Endnote Characters"/>
    <w:rsid w:val="009D0F39"/>
    <w:rPr>
      <w:vertAlign w:val="superscript"/>
    </w:rPr>
  </w:style>
  <w:style w:type="character" w:customStyle="1" w:styleId="WW-EndnoteCharacters">
    <w:name w:val="WW-Endnote Characters"/>
    <w:rsid w:val="009D0F39"/>
    <w:rPr>
      <w:vertAlign w:val="superscript"/>
    </w:rPr>
  </w:style>
  <w:style w:type="character" w:styleId="Hyperlnk">
    <w:name w:val="Hyperlink"/>
    <w:rsid w:val="009D0F39"/>
    <w:rPr>
      <w:color w:val="000080"/>
      <w:u w:val="single"/>
    </w:rPr>
  </w:style>
  <w:style w:type="character" w:customStyle="1" w:styleId="FootnoteCharacters">
    <w:name w:val="Footnote Characters"/>
    <w:rsid w:val="009D0F39"/>
    <w:rPr>
      <w:vertAlign w:val="superscript"/>
    </w:rPr>
  </w:style>
  <w:style w:type="character" w:customStyle="1" w:styleId="WW-FootnoteCharacters">
    <w:name w:val="WW-Footnote Characters"/>
    <w:rsid w:val="009D0F39"/>
  </w:style>
  <w:style w:type="character" w:styleId="Fotnotsreferens">
    <w:name w:val="footnote reference"/>
    <w:rsid w:val="009D0F39"/>
    <w:rPr>
      <w:vertAlign w:val="superscript"/>
    </w:rPr>
  </w:style>
  <w:style w:type="character" w:styleId="Slutkommentarsreferens">
    <w:name w:val="endnote reference"/>
    <w:rsid w:val="009D0F39"/>
    <w:rPr>
      <w:vertAlign w:val="superscript"/>
    </w:rPr>
  </w:style>
  <w:style w:type="character" w:customStyle="1" w:styleId="1">
    <w:name w:val="Знак сноски1"/>
    <w:rsid w:val="009D0F39"/>
    <w:rPr>
      <w:vertAlign w:val="superscript"/>
    </w:rPr>
  </w:style>
  <w:style w:type="paragraph" w:customStyle="1" w:styleId="Heading">
    <w:name w:val="Heading"/>
    <w:basedOn w:val="Normal"/>
    <w:next w:val="Brdtext"/>
    <w:rsid w:val="009D0F39"/>
    <w:pPr>
      <w:keepNext/>
      <w:spacing w:before="240" w:after="120"/>
    </w:pPr>
    <w:rPr>
      <w:rFonts w:ascii="Arial" w:eastAsia="Microsoft YaHei" w:hAnsi="Arial"/>
      <w:sz w:val="28"/>
      <w:szCs w:val="28"/>
    </w:rPr>
  </w:style>
  <w:style w:type="paragraph" w:styleId="Brdtext">
    <w:name w:val="Body Text"/>
    <w:basedOn w:val="Normal"/>
    <w:rsid w:val="009D0F39"/>
    <w:pPr>
      <w:spacing w:after="120"/>
    </w:pPr>
  </w:style>
  <w:style w:type="paragraph" w:styleId="Lista">
    <w:name w:val="List"/>
    <w:basedOn w:val="Brdtext"/>
    <w:rsid w:val="009D0F39"/>
  </w:style>
  <w:style w:type="paragraph" w:customStyle="1" w:styleId="Beskrivning1">
    <w:name w:val="Beskrivning1"/>
    <w:basedOn w:val="Normal"/>
    <w:rsid w:val="009D0F39"/>
    <w:pPr>
      <w:suppressLineNumbers/>
      <w:spacing w:before="120" w:after="120"/>
    </w:pPr>
    <w:rPr>
      <w:i/>
      <w:iCs/>
    </w:rPr>
  </w:style>
  <w:style w:type="paragraph" w:customStyle="1" w:styleId="Index">
    <w:name w:val="Index"/>
    <w:basedOn w:val="Normal"/>
    <w:rsid w:val="009D0F39"/>
    <w:pPr>
      <w:suppressLineNumbers/>
    </w:pPr>
  </w:style>
  <w:style w:type="paragraph" w:styleId="Sidhuvud">
    <w:name w:val="header"/>
    <w:basedOn w:val="Normal"/>
    <w:rsid w:val="009D0F39"/>
    <w:pPr>
      <w:suppressLineNumbers/>
      <w:tabs>
        <w:tab w:val="center" w:pos="4819"/>
        <w:tab w:val="right" w:pos="9638"/>
      </w:tabs>
    </w:pPr>
  </w:style>
  <w:style w:type="paragraph" w:styleId="Slutkommentar">
    <w:name w:val="endnote text"/>
    <w:basedOn w:val="Normal"/>
    <w:rsid w:val="009D0F39"/>
    <w:pPr>
      <w:suppressLineNumbers/>
      <w:ind w:left="283" w:hanging="283"/>
    </w:pPr>
    <w:rPr>
      <w:sz w:val="20"/>
      <w:szCs w:val="20"/>
    </w:rPr>
  </w:style>
  <w:style w:type="paragraph" w:customStyle="1" w:styleId="10">
    <w:name w:val="Обычный (веб)1"/>
    <w:basedOn w:val="Normal"/>
    <w:rsid w:val="009D0F39"/>
    <w:pPr>
      <w:spacing w:before="28" w:after="28" w:line="100" w:lineRule="atLeast"/>
    </w:pPr>
    <w:rPr>
      <w:rFonts w:eastAsia="Times New Roman" w:cs="Times New Roman"/>
    </w:rPr>
  </w:style>
  <w:style w:type="paragraph" w:styleId="Fotnotstext">
    <w:name w:val="footnote text"/>
    <w:basedOn w:val="Normal"/>
    <w:rsid w:val="009D0F39"/>
    <w:pPr>
      <w:suppressLineNumbers/>
      <w:ind w:left="283" w:hanging="283"/>
    </w:pPr>
    <w:rPr>
      <w:sz w:val="20"/>
      <w:szCs w:val="20"/>
    </w:rPr>
  </w:style>
  <w:style w:type="paragraph" w:styleId="Sidfot">
    <w:name w:val="footer"/>
    <w:basedOn w:val="Normal"/>
    <w:rsid w:val="009D0F39"/>
    <w:pPr>
      <w:suppressLineNumbers/>
      <w:tabs>
        <w:tab w:val="center" w:pos="4819"/>
        <w:tab w:val="right" w:pos="9638"/>
      </w:tabs>
    </w:pPr>
  </w:style>
  <w:style w:type="paragraph" w:customStyle="1" w:styleId="11">
    <w:name w:val="Текст концевой сноски1"/>
    <w:basedOn w:val="Normal"/>
    <w:rsid w:val="009D0F39"/>
    <w:pPr>
      <w:suppressLineNumbers/>
      <w:ind w:left="283" w:hanging="283"/>
    </w:pPr>
    <w:rPr>
      <w:sz w:val="20"/>
      <w:szCs w:val="20"/>
    </w:rPr>
  </w:style>
  <w:style w:type="paragraph" w:customStyle="1" w:styleId="12">
    <w:name w:val="Текст сноски1"/>
    <w:basedOn w:val="Normal"/>
    <w:rsid w:val="009D0F39"/>
    <w:pPr>
      <w:spacing w:line="100" w:lineRule="atLeast"/>
    </w:pPr>
    <w:rPr>
      <w:sz w:val="20"/>
      <w:szCs w:val="20"/>
    </w:rPr>
  </w:style>
  <w:style w:type="paragraph" w:styleId="Liststycke">
    <w:name w:val="List Paragraph"/>
    <w:basedOn w:val="Normal"/>
    <w:uiPriority w:val="34"/>
    <w:qFormat/>
    <w:rsid w:val="00BB73A0"/>
    <w:pPr>
      <w:ind w:left="720"/>
      <w:contextualSpacing/>
    </w:pPr>
    <w:rPr>
      <w:szCs w:val="21"/>
    </w:rPr>
  </w:style>
  <w:style w:type="character" w:styleId="AnvndHyperlnk">
    <w:name w:val="FollowedHyperlink"/>
    <w:basedOn w:val="Standardstycketeckensnitt"/>
    <w:uiPriority w:val="99"/>
    <w:semiHidden/>
    <w:unhideWhenUsed/>
    <w:rsid w:val="00A26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lizaveta.rekhtman@hscentr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ceip.org/moscow/eurasiaoutlook/?fa=56035" TargetMode="External"/><Relationship Id="rId13" Type="http://schemas.openxmlformats.org/officeDocument/2006/relationships/hyperlink" Target="http://www.pravda.com.ua/news/2014/09/20/7038395/" TargetMode="External"/><Relationship Id="rId18" Type="http://schemas.openxmlformats.org/officeDocument/2006/relationships/hyperlink" Target="http://carnegieeurope.eu/strategiceurope/?fa=57086" TargetMode="External"/><Relationship Id="rId3" Type="http://schemas.openxmlformats.org/officeDocument/2006/relationships/hyperlink" Target="http://www.foreignaffairs.com/articles/141769/john-j-mearsheimer/why-the-ukraine-crisis-is-the-wests-fault" TargetMode="External"/><Relationship Id="rId7" Type="http://schemas.openxmlformats.org/officeDocument/2006/relationships/hyperlink" Target="http://www.foreignaffairs.com/articles/141769/john-j-mearsheimer/why-the-ukraine-crisis-is-the-wests-fault" TargetMode="External"/><Relationship Id="rId12" Type="http://schemas.openxmlformats.org/officeDocument/2006/relationships/hyperlink" Target="http://carnegieendowment.org/files/ProEtContra_63_73-86.pdf" TargetMode="External"/><Relationship Id="rId17" Type="http://schemas.openxmlformats.org/officeDocument/2006/relationships/hyperlink" Target="http://carnegieeurope.eu/strategiceurope/?fa=57086" TargetMode="External"/><Relationship Id="rId2" Type="http://schemas.openxmlformats.org/officeDocument/2006/relationships/hyperlink" Target="http://nvua.net/opinion/ukolov/Moskva-terpit-porazhenie-na-vyborah-v-Ukraine-18045.html" TargetMode="External"/><Relationship Id="rId16" Type="http://schemas.openxmlformats.org/officeDocument/2006/relationships/hyperlink" Target="http://www.mid.ru/brp_4.nsf/newsline/64C03E1336C1B4D3C3257D85002792D8" TargetMode="External"/><Relationship Id="rId1" Type="http://schemas.openxmlformats.org/officeDocument/2006/relationships/hyperlink" Target="http://www.theguardian.com/world/2014/oct/27/ukraine-election-presidents-allies-early-count-petro-poroshenko" TargetMode="External"/><Relationship Id="rId6" Type="http://schemas.openxmlformats.org/officeDocument/2006/relationships/hyperlink" Target="http://eng.globalaffairs.ru/book/Ukraine-and-the-New-Divide-16884" TargetMode="External"/><Relationship Id="rId11" Type="http://schemas.openxmlformats.org/officeDocument/2006/relationships/hyperlink" Target="http://carnegieendowment.org/files/ProEtContra_63_73-86.pdf" TargetMode="External"/><Relationship Id="rId5" Type="http://schemas.openxmlformats.org/officeDocument/2006/relationships/hyperlink" Target="http://eeas.europa.eu/eastern/index_en.htm" TargetMode="External"/><Relationship Id="rId15" Type="http://schemas.openxmlformats.org/officeDocument/2006/relationships/hyperlink" Target="http://ua.korrespondent.net/ukraine/politics/3436637-verkhovna-rada-8-ho-sklykannia-ye-obranoui-zamhlavy-tsvk-mahera" TargetMode="External"/><Relationship Id="rId10" Type="http://schemas.openxmlformats.org/officeDocument/2006/relationships/hyperlink" Target="http://www.foreignaffairs.com/articles/141769/john-j-mearsheimer/why-the-ukraine-crisis-is-the-wests-fault" TargetMode="External"/><Relationship Id="rId4" Type="http://schemas.openxmlformats.org/officeDocument/2006/relationships/hyperlink" Target="http://www.summitbucharest.ro/en/doc_201.html" TargetMode="External"/><Relationship Id="rId9" Type="http://schemas.openxmlformats.org/officeDocument/2006/relationships/hyperlink" Target="http://www.foreignaffairs.com/articles/141769/john-j-mearsheimer/why-the-ukraine-crisis-is-the-wests-fault" TargetMode="External"/><Relationship Id="rId14" Type="http://schemas.openxmlformats.org/officeDocument/2006/relationships/hyperlink" Target="http://rada.gov.ua/news/Novyny/Povidomlennya/978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9E941-FA93-49D8-8495-D2E0878B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2226</Words>
  <Characters>12694</Characters>
  <Application>Microsoft Office Word</Application>
  <DocSecurity>0</DocSecurity>
  <Lines>105</Lines>
  <Paragraphs>29</Paragraphs>
  <ScaleCrop>false</ScaleCrop>
  <HeadingPairs>
    <vt:vector size="4" baseType="variant">
      <vt:variant>
        <vt:lpstr>Rubrik</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Lower</dc:creator>
  <cp:lastModifiedBy>Stina</cp:lastModifiedBy>
  <cp:revision>21</cp:revision>
  <cp:lastPrinted>1901-01-01T00:00:00Z</cp:lastPrinted>
  <dcterms:created xsi:type="dcterms:W3CDTF">2014-11-04T20:37:00Z</dcterms:created>
  <dcterms:modified xsi:type="dcterms:W3CDTF">2014-11-06T06:50:00Z</dcterms:modified>
</cp:coreProperties>
</file>